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Сведения об электронной информационно-образовательной среде</w:t>
      </w:r>
    </w:p>
    <w:p>
      <w:r>
        <w:t>ПРОЕКТ. НЕ УТВЕРЖДЁН. Редакция 0.3 от 27.09.2026.</w:t>
      </w:r>
    </w:p>
    <w:p>
      <w:r>
        <w:t>ИП Швецов Антон Дмитриевич · Ростовская область</w:t>
      </w:r>
    </w:p>
    <w:p>
      <w:r>
        <w:t>Контакт: hello@klassville.com · +7 993 447-31-10</w:t>
      </w:r>
    </w:p>
    <w:p>
      <w:pPr>
        <w:pStyle w:val="Heading1"/>
      </w:pPr>
      <w:r>
        <w:t>Заявитель и формат</w:t>
      </w:r>
    </w:p>
    <w:p>
      <w:r>
        <w:t>ИП Швецов Антон Дмитриевич, ИНН 616129977124, ОГРНИП 326619600042029. Контакт: hello@klassville.com, +7 993 447-31-10. Подвид: дополнительное образование детей и взрослых. Формат исключительно онлайн, заочная форма.</w:t>
      </w:r>
    </w:p>
    <w:p>
      <w:r>
        <w:t>Сайт: https://klassville.com/. Информация о программах: https://klassville.com/sveden/education. Вход: https://klassville.com/login. Проверочный раздел после входа: https://klassville.com/inspection. Пароль передаётся отдельно и не включается в публичную справку.</w:t>
      </w:r>
    </w:p>
    <w:p>
      <w:pPr>
        <w:pStyle w:val="Heading1"/>
      </w:pPr>
      <w:r>
        <w:t>Состав среды</w:t>
      </w:r>
    </w:p>
    <w:p>
      <w:r>
        <w:t>Серверное приложение включает разграниченные аккаунты, учебные материалы, расписание, задания, ответы и оценки, поддержку, видеосвязь и общую доску. Результаты и доски хранятся на сервере; локальные личные доски выделены отдельно.</w:t>
      </w:r>
    </w:p>
    <w:p>
      <w:r>
        <w:t>Программы доступны в HTML, PDF, DOCX и MD. Учебные курсы объединяют темы, опорные материалы и практику. Ключи итоговых работ ограничены серверными правами. Матрица фактического наполнения и статусы проверки представлены в закрытом разделе владельца.</w:t>
      </w:r>
    </w:p>
    <w:p>
      <w:pPr>
        <w:pStyle w:val="Heading1"/>
      </w:pPr>
      <w:r>
        <w:t>Правовые основания ресурсов</w:t>
      </w:r>
    </w:p>
    <w:p>
      <w:r>
        <w:t>Владелец подтвердил, что домен, сервер и видеосервис оформлены на него как ИП. До подачи к сведениям прилагаются фактические реквизиты договоров или иных оснований использования. Номера договоров не предоставлены и не выдумываются.</w:t>
      </w:r>
    </w:p>
    <w:p>
      <w:r>
        <w:t>Полный состав обработчиков, размещение данных и договорные условия проверяются по документам провайдеров. Наличие работающей ссылки само по себе не доказывает юридическое основание использования.</w:t>
      </w:r>
    </w:p>
    <w:p>
      <w:pPr>
        <w:pStyle w:val="Heading1"/>
      </w:pPr>
      <w:r>
        <w:t>Ограничения текущей редакции</w:t>
      </w:r>
    </w:p>
    <w:p>
      <w:r>
        <w:t>Данный документ подготовлен для переноса сведений в актуальную форму лицензирующего органа. Он не является подписанной официальной справкой и не удостоверяет полноту всех учебных ресурсов.</w:t>
      </w:r>
    </w:p>
    <w:p>
      <w:r>
        <w:t>Программы и локальные документы ещё требуют фактического утверждения. Доступ проверяющего отделён от административного; данных реальных обучающихся для проверки до запуска не требуется выдумывать.</w:t>
      </w:r>
    </w:p>
    <w:p>
      <w:pPr>
        <w:pStyle w:val="Heading1"/>
      </w:pPr>
      <w:r>
        <w:t>Подтверждение прав и сведений для заявления</w:t>
      </w:r>
    </w:p>
    <w:p>
      <w:r>
        <w:t>Реестр оснований ведётся в закрытом кабинете /manage/licensing/dossier. Для ресурса указываются поставщик, документ или иное правомерное основание, дата и срок, место обработки и непроверенные условия. Выгрузка создаётся из текущих сохранённых сведений; реквизиты и подписи не создаются автоматически.</w:t>
      </w:r>
    </w:p>
    <w:p>
      <w:r>
        <w:t>Политика персональных данных размещена по /privacy. Сам факт публикации политики не подтверждает уведомление Роскомнадзора или завершение проверки поставщиков. Предметные заключения и утверждение программы являются отдельными действиями.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электронной информационно-образовательной среде</dc:title>
  <dc:subject/>
  <dc:creator>Классвилль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