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КЛАССВИЛЛЬ</w:t>
      </w:r>
    </w:p>
    <w:p>
      <w:pPr>
        <w:pStyle w:val="Title"/>
      </w:pPr>
      <w:r>
        <w:t>Английский язык. Подготовка к ЕГЭ</w:t>
      </w:r>
    </w:p>
    <w:p>
      <w:r>
        <w:t>ПРОЕКТ. НЕ УТВЕРЖДЁН.</w:t>
        <w:br/>
        <w:t>Версия 0.2 · проект от 27.09.2026</w:t>
      </w:r>
    </w:p>
    <w:p>
      <w:r>
        <w:t>216 академических часов · 36 учебных недель</w:t>
        <w:br/>
        <w:t>ИП Швецов Антон Дмитриевич · Ростовская область</w:t>
        <w:br/>
        <w:t>Телефон: +7 993 447-31-10</w:t>
      </w:r>
    </w:p>
    <w:p>
      <w:pPr>
        <w:pStyle w:val="Heading1"/>
      </w:pPr>
      <w:r>
        <w:t>Паспорт программы</w:t>
      </w:r>
    </w:p>
    <w:p>
      <w:r>
        <w:t>Дополнительная общеобразовательная общеразвивающая программа «Английский язык. Подготовка к ЕГЭ». Разработана для Классвилля. ИП Швецов Антон Дмитриевич. Ростовская область, 2026 год. Версия 0.2 · проект от 27.09.2026. Телефон школы: +7 993 447-31-10.</w:t>
      </w:r>
    </w:p>
    <w:p>
      <w:r>
        <w:t>ПРОЕКТ ДЛЯ СОГЛАСОВАНИЯ. Документ не утверждён приказом и не удостоверяет наличие образовательной лицензии. Перед утверждением ИП проверяет содержание с преподавателем предмета, заполняет кадровое обеспечение и календарные даты. Подпись, номер приказа и дата утверждения в проекте не проставлены.</w:t>
      </w:r>
    </w:p>
    <w:tbl>
      <w:tblPr>
        <w:tblStyle w:val="LightShading-Accent1"/>
        <w:tblW w:type="auto" w:w="0"/>
        <w:tblLook w:firstColumn="1" w:firstRow="1" w:lastColumn="0" w:lastRow="0" w:noHBand="0" w:noVBand="1" w:val="04A0"/>
      </w:tblPr>
      <w:tblGrid>
        <w:gridCol w:w="4819"/>
        <w:gridCol w:w="4819"/>
      </w:tblGrid>
      <w:tr>
        <w:trPr>
          <w:tblHeader/>
          <w:cantSplit/>
        </w:trPr>
        <w:tc>
          <w:tcPr>
            <w:tcW w:type="dxa" w:w="4819"/>
          </w:tcPr>
          <w:p>
            <w:r>
              <w:rPr>
                <w:sz w:val="18"/>
              </w:rPr>
              <w:t>Характеристика</w:t>
            </w:r>
          </w:p>
        </w:tc>
        <w:tc>
          <w:tcPr>
            <w:tcW w:type="dxa" w:w="4819"/>
          </w:tcPr>
          <w:p>
            <w:r>
              <w:rPr>
                <w:sz w:val="18"/>
              </w:rPr>
              <w:t>Проектное значение</w:t>
            </w:r>
          </w:p>
        </w:tc>
      </w:tr>
      <w:tr>
        <w:trPr>
          <w:cantSplit/>
        </w:trPr>
        <w:tc>
          <w:tcPr>
            <w:tcW w:type="dxa" w:w="4819"/>
          </w:tcPr>
          <w:p>
            <w:r>
              <w:rPr>
                <w:sz w:val="18"/>
              </w:rPr>
              <w:t>Вид и подвид</w:t>
            </w:r>
          </w:p>
        </w:tc>
        <w:tc>
          <w:tcPr>
            <w:tcW w:type="dxa" w:w="4819"/>
          </w:tcPr>
          <w:p>
            <w:r>
              <w:rPr>
                <w:sz w:val="18"/>
              </w:rPr>
              <w:t>Дополнительное образование; Дополнительное образование детей и взрослых</w:t>
            </w:r>
          </w:p>
        </w:tc>
      </w:tr>
      <w:tr>
        <w:trPr>
          <w:cantSplit/>
        </w:trPr>
        <w:tc>
          <w:tcPr>
            <w:tcW w:type="dxa" w:w="4819"/>
          </w:tcPr>
          <w:p>
            <w:r>
              <w:rPr>
                <w:sz w:val="18"/>
              </w:rPr>
              <w:t>Направленность</w:t>
            </w:r>
          </w:p>
        </w:tc>
        <w:tc>
          <w:tcPr>
            <w:tcW w:type="dxa" w:w="4819"/>
          </w:tcPr>
          <w:p>
            <w:r>
              <w:rPr>
                <w:sz w:val="18"/>
              </w:rPr>
              <w:t>социально-гуманитарная</w:t>
            </w:r>
          </w:p>
        </w:tc>
      </w:tr>
      <w:tr>
        <w:trPr>
          <w:cantSplit/>
        </w:trPr>
        <w:tc>
          <w:tcPr>
            <w:tcW w:type="dxa" w:w="4819"/>
          </w:tcPr>
          <w:p>
            <w:r>
              <w:rPr>
                <w:sz w:val="18"/>
              </w:rPr>
              <w:t>Адресат</w:t>
            </w:r>
          </w:p>
        </w:tc>
        <w:tc>
          <w:tcPr>
            <w:tcW w:type="dxa" w:w="4819"/>
          </w:tcPr>
          <w:p>
            <w:r>
              <w:rPr>
                <w:sz w:val="18"/>
              </w:rPr>
              <w:t>16–18 лет, 10–11 классы</w:t>
            </w:r>
          </w:p>
        </w:tc>
      </w:tr>
      <w:tr>
        <w:trPr>
          <w:cantSplit/>
        </w:trPr>
        <w:tc>
          <w:tcPr>
            <w:tcW w:type="dxa" w:w="4819"/>
          </w:tcPr>
          <w:p>
            <w:r>
              <w:rPr>
                <w:sz w:val="18"/>
              </w:rPr>
              <w:t>Объём</w:t>
            </w:r>
          </w:p>
        </w:tc>
        <w:tc>
          <w:tcPr>
            <w:tcW w:type="dxa" w:w="4819"/>
          </w:tcPr>
          <w:p>
            <w:r>
              <w:rPr>
                <w:sz w:val="18"/>
              </w:rPr>
              <w:t>216 академических часов по 45 минут: 144 контактных, 72 самостоятельных</w:t>
            </w:r>
          </w:p>
        </w:tc>
      </w:tr>
      <w:tr>
        <w:trPr>
          <w:cantSplit/>
        </w:trPr>
        <w:tc>
          <w:tcPr>
            <w:tcW w:type="dxa" w:w="4819"/>
          </w:tcPr>
          <w:p>
            <w:r>
              <w:rPr>
                <w:sz w:val="18"/>
              </w:rPr>
              <w:t>Срок</w:t>
            </w:r>
          </w:p>
        </w:tc>
        <w:tc>
          <w:tcPr>
            <w:tcW w:type="dxa" w:w="4819"/>
          </w:tcPr>
          <w:p>
            <w:r>
              <w:rPr>
                <w:sz w:val="18"/>
              </w:rPr>
              <w:t>36 учебных недель; конкретные даты утверждаются до зачисления</w:t>
            </w:r>
          </w:p>
        </w:tc>
      </w:tr>
      <w:tr>
        <w:trPr>
          <w:cantSplit/>
        </w:trPr>
        <w:tc>
          <w:tcPr>
            <w:tcW w:type="dxa" w:w="4819"/>
          </w:tcPr>
          <w:p>
            <w:r>
              <w:rPr>
                <w:sz w:val="18"/>
              </w:rPr>
              <w:t>Форма</w:t>
            </w:r>
          </w:p>
        </w:tc>
        <w:tc>
          <w:tcPr>
            <w:tcW w:type="dxa" w:w="4819"/>
          </w:tcPr>
          <w:p>
            <w:r>
              <w:rPr>
                <w:sz w:val="18"/>
              </w:rPr>
              <w:t>Заочная, с применением исключительно электронного обучения и дистанционных образовательных технологий. Все занятия онлайн; посещение учебного центра не предусмотрено.</w:t>
            </w:r>
          </w:p>
        </w:tc>
      </w:tr>
      <w:tr>
        <w:trPr>
          <w:cantSplit/>
        </w:trPr>
        <w:tc>
          <w:tcPr>
            <w:tcW w:type="dxa" w:w="4819"/>
          </w:tcPr>
          <w:p>
            <w:r>
              <w:rPr>
                <w:sz w:val="18"/>
              </w:rPr>
              <w:t>Организация</w:t>
            </w:r>
          </w:p>
        </w:tc>
        <w:tc>
          <w:tcPr>
            <w:tcW w:type="dxa" w:w="4819"/>
          </w:tcPr>
          <w:p>
            <w:r>
              <w:rPr>
                <w:sz w:val="18"/>
              </w:rPr>
              <w:t>Групповая или индивидуальная; размер группы устанавливается до запуска</w:t>
            </w:r>
          </w:p>
        </w:tc>
      </w:tr>
      <w:tr>
        <w:trPr>
          <w:cantSplit/>
        </w:trPr>
        <w:tc>
          <w:tcPr>
            <w:tcW w:type="dxa" w:w="4819"/>
          </w:tcPr>
          <w:p>
            <w:r>
              <w:rPr>
                <w:sz w:val="18"/>
              </w:rPr>
              <w:t>Язык</w:t>
            </w:r>
          </w:p>
        </w:tc>
        <w:tc>
          <w:tcPr>
            <w:tcW w:type="dxa" w:w="4819"/>
          </w:tcPr>
          <w:p>
            <w:r>
              <w:rPr>
                <w:sz w:val="18"/>
              </w:rPr>
              <w:t>Русский и английский в речевых заданиях</w:t>
            </w:r>
          </w:p>
        </w:tc>
      </w:tr>
      <w:tr>
        <w:trPr>
          <w:cantSplit/>
        </w:trPr>
        <w:tc>
          <w:tcPr>
            <w:tcW w:type="dxa" w:w="4819"/>
          </w:tcPr>
          <w:p>
            <w:r>
              <w:rPr>
                <w:sz w:val="18"/>
              </w:rPr>
              <w:t>Итог</w:t>
            </w:r>
          </w:p>
        </w:tc>
        <w:tc>
          <w:tcPr>
            <w:tcW w:type="dxa" w:w="4819"/>
          </w:tcPr>
          <w:p>
            <w:r>
              <w:rPr>
                <w:sz w:val="18"/>
              </w:rPr>
              <w:t>Внутренняя итоговая работа и карта освоения тем; не государственная итоговая аттестация</w:t>
            </w:r>
          </w:p>
        </w:tc>
      </w:tr>
    </w:tbl>
    <w:p>
      <w:pPr>
        <w:pStyle w:val="Heading1"/>
      </w:pPr>
      <w:r>
        <w:t>1. Пояснительная записка</w:t>
      </w:r>
    </w:p>
    <w:p>
      <w:r>
        <w:t>Цель: Научиться понимать сложные высказывания, описывать данные и обосновывать позицию на английском языке. Программа адресована школьникам, которым необходимо систематизировать знания и подготовиться к экзаменационным способам работы. Она дополняет обучение в общеобразовательной школе и не заменяет основную образовательную программу.</w:t>
      </w:r>
    </w:p>
    <w:p>
      <w:r>
        <w:t>Входная диагностика не является конкурсным отбором и не используется для обещания определённого экзаменационного балла. Её результат определяет объём повторения, последовательность дополнительных упражнений и необходимую поддержку. При нескольких выбранных предметах общая недельная нагрузка согласуется с семьёй.</w:t>
      </w:r>
    </w:p>
    <w:p>
      <w:r>
        <w:t>Условия начала обучения: возможность читать инструкции курса, участвовать в видеозанятии и передавать выполненную работу. Доступ проверяется до первого занятия. Для ребёнка, которому нужна адаптация материалов или режима, условия обсуждаются индивидуально; наличие специальных условий не заявляется без фактического обеспечения.</w:t>
      </w:r>
    </w:p>
    <w:p>
      <w:pPr>
        <w:pStyle w:val="Heading1"/>
      </w:pPr>
      <w:r>
        <w:t>2. Особенности Классвилля и задачи обучения</w:t>
      </w:r>
    </w:p>
    <w:p>
      <w:pPr>
        <w:pStyle w:val="ListBullet"/>
      </w:pPr>
      <w:r>
        <w:t>Объясни решение: ученик показывает ход мысли на общей доске и называет основание каждого значимого перехода.</w:t>
      </w:r>
    </w:p>
    <w:p>
      <w:pPr>
        <w:pStyle w:val="ListBullet"/>
      </w:pPr>
      <w:r>
        <w:t>Исправь причину: в обратной связи фиксируется конкретный тип ошибки, её причина, исправление и следующее упражнение.</w:t>
      </w:r>
    </w:p>
    <w:p>
      <w:pPr>
        <w:pStyle w:val="ListBullet"/>
      </w:pPr>
      <w:r>
        <w:t>Вернись к теме: короткая самостоятельная проверка проводится через 7–14 дней на другом примере. Автоматическое назначение не предполагается, задание выдаёт преподаватель.</w:t>
      </w:r>
    </w:p>
    <w:p>
      <w:pPr>
        <w:pStyle w:val="ListBullet"/>
      </w:pPr>
      <w:r>
        <w:t>Покажи результат: по завершении модуля преподаватель кратко отмечает освоенные действия, оставшиеся трудности и ближайший шаг. Родителю доступны результаты связанного ребёнка.</w:t>
      </w:r>
    </w:p>
    <w:p>
      <w:pPr>
        <w:pStyle w:val="ListBullet"/>
      </w:pPr>
      <w:r>
        <w:t>Учись в своём темпе: дополнительный разбор и усложнение заданий меняют поддержку, но не отменяют обязательные результаты программы.</w:t>
      </w:r>
    </w:p>
    <w:p>
      <w:r>
        <w:t>Предметные задачи раскрываются в модулях ниже. Метапредметные задачи: выделять условие и искомое, выбирать способ, проверять результат, задавать содержательный вопрос. Личностные задачи: честно обозначать затруднение, уважать другое решение, соблюдать договорённости об учебной работе и цифровом взаимодействии.</w:t>
      </w:r>
    </w:p>
    <w:p>
      <w:pPr>
        <w:pStyle w:val="Heading1"/>
      </w:pPr>
      <w:r>
        <w:t>3. Планируемые результаты</w:t>
      </w:r>
    </w:p>
    <w:p>
      <w:pPr>
        <w:pStyle w:val="ListBullet"/>
      </w:pPr>
      <w:r>
        <w:t>Выбирает форму по смыслу и коммуникативной задаче.</w:t>
      </w:r>
    </w:p>
    <w:p>
      <w:pPr>
        <w:pStyle w:val="ListBullet"/>
      </w:pPr>
      <w:r>
        <w:t>Сохраняет смысл при преобразовании и использует уместную сочетаемость.</w:t>
      </w:r>
    </w:p>
    <w:p>
      <w:pPr>
        <w:pStyle w:val="ListBullet"/>
      </w:pPr>
      <w:r>
        <w:t>Различает явно сказанное, подразумеваемое и отсутствующее в тексте.</w:t>
      </w:r>
    </w:p>
    <w:p>
      <w:pPr>
        <w:pStyle w:val="ListBullet"/>
      </w:pPr>
      <w:r>
        <w:t>Понимает ключевые факты и позицию говорящего без дословного перевода всей записи.</w:t>
      </w:r>
    </w:p>
    <w:p>
      <w:pPr>
        <w:pStyle w:val="ListBullet"/>
      </w:pPr>
      <w:r>
        <w:t>Отбирает значимые данные, сравнивает их и формулирует обоснованный вывод.</w:t>
      </w:r>
    </w:p>
    <w:p>
      <w:pPr>
        <w:pStyle w:val="ListBullet"/>
      </w:pPr>
      <w:r>
        <w:t>Решает коммуникативную задачу, говорит связно и исправляет оговорку без остановки ответа.</w:t>
      </w:r>
    </w:p>
    <w:p>
      <w:r>
        <w:t>Общие наблюдаемые результаты: ученик объясняет выбранный способ; исправляет ошибку после обратной связи; выполняет аналогичное задание позднее без прямой подсказки; сравнивает самооценку с критериями. Самостоятельность оценивается отдельно от правильности ответа.</w:t>
      </w:r>
    </w:p>
    <w:p>
      <w:pPr>
        <w:pStyle w:val="Heading1"/>
      </w:pPr>
      <w:r>
        <w:t>4. Учебный план</w:t>
      </w:r>
    </w:p>
    <w:p>
      <w:r>
        <w:t>Все часы в таблицах академические, по 45 минут. Контактная практика включает диагностику и контроль; контрольные работы не прибавляются к итогу второй раз. Самостоятельная работа входит в общий объём. Перерывы в академические часы не включены. Стоимость и коммерческие пакеты занятий этим документом не устанавливаются.</w:t>
      </w:r>
    </w:p>
    <w:tbl>
      <w:tblPr>
        <w:tblStyle w:val="LightShading-Accent1"/>
        <w:tblW w:type="auto" w:w="0"/>
        <w:tblLook w:firstColumn="1" w:firstRow="1" w:lastColumn="0" w:lastRow="0" w:noHBand="0" w:noVBand="1" w:val="04A0"/>
      </w:tblPr>
      <w:tblGrid>
        <w:gridCol w:w="1606"/>
        <w:gridCol w:w="1606"/>
        <w:gridCol w:w="1606"/>
        <w:gridCol w:w="1606"/>
        <w:gridCol w:w="1606"/>
        <w:gridCol w:w="1606"/>
      </w:tblGrid>
      <w:tr>
        <w:trPr>
          <w:tblHeader/>
          <w:cantSplit/>
        </w:trPr>
        <w:tc>
          <w:tcPr>
            <w:tcW w:type="dxa" w:w="1606"/>
          </w:tcPr>
          <w:p>
            <w:r>
              <w:rPr>
                <w:sz w:val="18"/>
              </w:rPr>
              <w:t>Модуль</w:t>
            </w:r>
          </w:p>
        </w:tc>
        <w:tc>
          <w:tcPr>
            <w:tcW w:type="dxa" w:w="1606"/>
          </w:tcPr>
          <w:p>
            <w:r>
              <w:rPr>
                <w:sz w:val="18"/>
              </w:rPr>
              <w:t>Недели</w:t>
            </w:r>
          </w:p>
        </w:tc>
        <w:tc>
          <w:tcPr>
            <w:tcW w:type="dxa" w:w="1606"/>
          </w:tcPr>
          <w:p>
            <w:r>
              <w:rPr>
                <w:sz w:val="18"/>
              </w:rPr>
              <w:t>Теория</w:t>
            </w:r>
          </w:p>
        </w:tc>
        <w:tc>
          <w:tcPr>
            <w:tcW w:type="dxa" w:w="1606"/>
          </w:tcPr>
          <w:p>
            <w:r>
              <w:rPr>
                <w:sz w:val="18"/>
              </w:rPr>
              <w:t>Практика и контроль</w:t>
            </w:r>
          </w:p>
        </w:tc>
        <w:tc>
          <w:tcPr>
            <w:tcW w:type="dxa" w:w="1606"/>
          </w:tcPr>
          <w:p>
            <w:r>
              <w:rPr>
                <w:sz w:val="18"/>
              </w:rPr>
              <w:t>Самостоятельно</w:t>
            </w:r>
          </w:p>
        </w:tc>
        <w:tc>
          <w:tcPr>
            <w:tcW w:type="dxa" w:w="1606"/>
          </w:tcPr>
          <w:p>
            <w:r>
              <w:rPr>
                <w:sz w:val="18"/>
              </w:rPr>
              <w:t>Всего</w:t>
            </w:r>
          </w:p>
        </w:tc>
      </w:tr>
      <w:tr>
        <w:trPr>
          <w:cantSplit/>
        </w:trPr>
        <w:tc>
          <w:tcPr>
            <w:tcW w:type="dxa" w:w="1606"/>
          </w:tcPr>
          <w:p>
            <w:r>
              <w:rPr>
                <w:sz w:val="18"/>
              </w:rPr>
              <w:t>Входная диагностика и учебный маршрут</w:t>
            </w:r>
          </w:p>
        </w:tc>
        <w:tc>
          <w:tcPr>
            <w:tcW w:type="dxa" w:w="1606"/>
          </w:tcPr>
          <w:p>
            <w:r>
              <w:rPr>
                <w:sz w:val="18"/>
              </w:rPr>
              <w:t>1–1</w:t>
            </w:r>
          </w:p>
        </w:tc>
        <w:tc>
          <w:tcPr>
            <w:tcW w:type="dxa" w:w="1606"/>
          </w:tcPr>
          <w:p>
            <w:r>
              <w:rPr>
                <w:sz w:val="18"/>
              </w:rPr>
              <w:t>0</w:t>
            </w:r>
          </w:p>
        </w:tc>
        <w:tc>
          <w:tcPr>
            <w:tcW w:type="dxa" w:w="1606"/>
          </w:tcPr>
          <w:p>
            <w:r>
              <w:rPr>
                <w:sz w:val="18"/>
              </w:rPr>
              <w:t>4</w:t>
            </w:r>
          </w:p>
        </w:tc>
        <w:tc>
          <w:tcPr>
            <w:tcW w:type="dxa" w:w="1606"/>
          </w:tcPr>
          <w:p>
            <w:r>
              <w:rPr>
                <w:sz w:val="18"/>
              </w:rPr>
              <w:t>2</w:t>
            </w:r>
          </w:p>
        </w:tc>
        <w:tc>
          <w:tcPr>
            <w:tcW w:type="dxa" w:w="1606"/>
          </w:tcPr>
          <w:p>
            <w:r>
              <w:rPr>
                <w:sz w:val="18"/>
              </w:rPr>
              <w:t>6</w:t>
            </w:r>
          </w:p>
        </w:tc>
      </w:tr>
      <w:tr>
        <w:trPr>
          <w:cantSplit/>
        </w:trPr>
        <w:tc>
          <w:tcPr>
            <w:tcW w:type="dxa" w:w="1606"/>
          </w:tcPr>
          <w:p>
            <w:r>
              <w:rPr>
                <w:sz w:val="18"/>
              </w:rPr>
              <w:t>Языковая система</w:t>
            </w:r>
          </w:p>
        </w:tc>
        <w:tc>
          <w:tcPr>
            <w:tcW w:type="dxa" w:w="1606"/>
          </w:tcPr>
          <w:p>
            <w:r>
              <w:rPr>
                <w:sz w:val="18"/>
              </w:rPr>
              <w:t>2–6</w:t>
            </w:r>
          </w:p>
        </w:tc>
        <w:tc>
          <w:tcPr>
            <w:tcW w:type="dxa" w:w="1606"/>
          </w:tcPr>
          <w:p>
            <w:r>
              <w:rPr>
                <w:sz w:val="18"/>
              </w:rPr>
              <w:t>5</w:t>
            </w:r>
          </w:p>
        </w:tc>
        <w:tc>
          <w:tcPr>
            <w:tcW w:type="dxa" w:w="1606"/>
          </w:tcPr>
          <w:p>
            <w:r>
              <w:rPr>
                <w:sz w:val="18"/>
              </w:rPr>
              <w:t>15</w:t>
            </w:r>
          </w:p>
        </w:tc>
        <w:tc>
          <w:tcPr>
            <w:tcW w:type="dxa" w:w="1606"/>
          </w:tcPr>
          <w:p>
            <w:r>
              <w:rPr>
                <w:sz w:val="18"/>
              </w:rPr>
              <w:t>10</w:t>
            </w:r>
          </w:p>
        </w:tc>
        <w:tc>
          <w:tcPr>
            <w:tcW w:type="dxa" w:w="1606"/>
          </w:tcPr>
          <w:p>
            <w:r>
              <w:rPr>
                <w:sz w:val="18"/>
              </w:rPr>
              <w:t>30</w:t>
            </w:r>
          </w:p>
        </w:tc>
      </w:tr>
      <w:tr>
        <w:trPr>
          <w:cantSplit/>
        </w:trPr>
        <w:tc>
          <w:tcPr>
            <w:tcW w:type="dxa" w:w="1606"/>
          </w:tcPr>
          <w:p>
            <w:r>
              <w:rPr>
                <w:sz w:val="18"/>
              </w:rPr>
              <w:t>Лексика и грамматика</w:t>
            </w:r>
          </w:p>
        </w:tc>
        <w:tc>
          <w:tcPr>
            <w:tcW w:type="dxa" w:w="1606"/>
          </w:tcPr>
          <w:p>
            <w:r>
              <w:rPr>
                <w:sz w:val="18"/>
              </w:rPr>
              <w:t>7–12</w:t>
            </w:r>
          </w:p>
        </w:tc>
        <w:tc>
          <w:tcPr>
            <w:tcW w:type="dxa" w:w="1606"/>
          </w:tcPr>
          <w:p>
            <w:r>
              <w:rPr>
                <w:sz w:val="18"/>
              </w:rPr>
              <w:t>6</w:t>
            </w:r>
          </w:p>
        </w:tc>
        <w:tc>
          <w:tcPr>
            <w:tcW w:type="dxa" w:w="1606"/>
          </w:tcPr>
          <w:p>
            <w:r>
              <w:rPr>
                <w:sz w:val="18"/>
              </w:rPr>
              <w:t>18</w:t>
            </w:r>
          </w:p>
        </w:tc>
        <w:tc>
          <w:tcPr>
            <w:tcW w:type="dxa" w:w="1606"/>
          </w:tcPr>
          <w:p>
            <w:r>
              <w:rPr>
                <w:sz w:val="18"/>
              </w:rPr>
              <w:t>12</w:t>
            </w:r>
          </w:p>
        </w:tc>
        <w:tc>
          <w:tcPr>
            <w:tcW w:type="dxa" w:w="1606"/>
          </w:tcPr>
          <w:p>
            <w:r>
              <w:rPr>
                <w:sz w:val="18"/>
              </w:rPr>
              <w:t>36</w:t>
            </w:r>
          </w:p>
        </w:tc>
      </w:tr>
      <w:tr>
        <w:trPr>
          <w:cantSplit/>
        </w:trPr>
        <w:tc>
          <w:tcPr>
            <w:tcW w:type="dxa" w:w="1606"/>
          </w:tcPr>
          <w:p>
            <w:r>
              <w:rPr>
                <w:sz w:val="18"/>
              </w:rPr>
              <w:t>Чтение и смысл</w:t>
            </w:r>
          </w:p>
        </w:tc>
        <w:tc>
          <w:tcPr>
            <w:tcW w:type="dxa" w:w="1606"/>
          </w:tcPr>
          <w:p>
            <w:r>
              <w:rPr>
                <w:sz w:val="18"/>
              </w:rPr>
              <w:t>13–18</w:t>
            </w:r>
          </w:p>
        </w:tc>
        <w:tc>
          <w:tcPr>
            <w:tcW w:type="dxa" w:w="1606"/>
          </w:tcPr>
          <w:p>
            <w:r>
              <w:rPr>
                <w:sz w:val="18"/>
              </w:rPr>
              <w:t>6</w:t>
            </w:r>
          </w:p>
        </w:tc>
        <w:tc>
          <w:tcPr>
            <w:tcW w:type="dxa" w:w="1606"/>
          </w:tcPr>
          <w:p>
            <w:r>
              <w:rPr>
                <w:sz w:val="18"/>
              </w:rPr>
              <w:t>18</w:t>
            </w:r>
          </w:p>
        </w:tc>
        <w:tc>
          <w:tcPr>
            <w:tcW w:type="dxa" w:w="1606"/>
          </w:tcPr>
          <w:p>
            <w:r>
              <w:rPr>
                <w:sz w:val="18"/>
              </w:rPr>
              <w:t>12</w:t>
            </w:r>
          </w:p>
        </w:tc>
        <w:tc>
          <w:tcPr>
            <w:tcW w:type="dxa" w:w="1606"/>
          </w:tcPr>
          <w:p>
            <w:r>
              <w:rPr>
                <w:sz w:val="18"/>
              </w:rPr>
              <w:t>36</w:t>
            </w:r>
          </w:p>
        </w:tc>
      </w:tr>
      <w:tr>
        <w:trPr>
          <w:cantSplit/>
        </w:trPr>
        <w:tc>
          <w:tcPr>
            <w:tcW w:type="dxa" w:w="1606"/>
          </w:tcPr>
          <w:p>
            <w:r>
              <w:rPr>
                <w:sz w:val="18"/>
              </w:rPr>
              <w:t>Аудирование</w:t>
            </w:r>
          </w:p>
        </w:tc>
        <w:tc>
          <w:tcPr>
            <w:tcW w:type="dxa" w:w="1606"/>
          </w:tcPr>
          <w:p>
            <w:r>
              <w:rPr>
                <w:sz w:val="18"/>
              </w:rPr>
              <w:t>19–24</w:t>
            </w:r>
          </w:p>
        </w:tc>
        <w:tc>
          <w:tcPr>
            <w:tcW w:type="dxa" w:w="1606"/>
          </w:tcPr>
          <w:p>
            <w:r>
              <w:rPr>
                <w:sz w:val="18"/>
              </w:rPr>
              <w:t>6</w:t>
            </w:r>
          </w:p>
        </w:tc>
        <w:tc>
          <w:tcPr>
            <w:tcW w:type="dxa" w:w="1606"/>
          </w:tcPr>
          <w:p>
            <w:r>
              <w:rPr>
                <w:sz w:val="18"/>
              </w:rPr>
              <w:t>18</w:t>
            </w:r>
          </w:p>
        </w:tc>
        <w:tc>
          <w:tcPr>
            <w:tcW w:type="dxa" w:w="1606"/>
          </w:tcPr>
          <w:p>
            <w:r>
              <w:rPr>
                <w:sz w:val="18"/>
              </w:rPr>
              <w:t>12</w:t>
            </w:r>
          </w:p>
        </w:tc>
        <w:tc>
          <w:tcPr>
            <w:tcW w:type="dxa" w:w="1606"/>
          </w:tcPr>
          <w:p>
            <w:r>
              <w:rPr>
                <w:sz w:val="18"/>
              </w:rPr>
              <w:t>36</w:t>
            </w:r>
          </w:p>
        </w:tc>
      </w:tr>
      <w:tr>
        <w:trPr>
          <w:cantSplit/>
        </w:trPr>
        <w:tc>
          <w:tcPr>
            <w:tcW w:type="dxa" w:w="1606"/>
          </w:tcPr>
          <w:p>
            <w:r>
              <w:rPr>
                <w:sz w:val="18"/>
              </w:rPr>
              <w:t>Письмо</w:t>
            </w:r>
          </w:p>
        </w:tc>
        <w:tc>
          <w:tcPr>
            <w:tcW w:type="dxa" w:w="1606"/>
          </w:tcPr>
          <w:p>
            <w:r>
              <w:rPr>
                <w:sz w:val="18"/>
              </w:rPr>
              <w:t>25–29</w:t>
            </w:r>
          </w:p>
        </w:tc>
        <w:tc>
          <w:tcPr>
            <w:tcW w:type="dxa" w:w="1606"/>
          </w:tcPr>
          <w:p>
            <w:r>
              <w:rPr>
                <w:sz w:val="18"/>
              </w:rPr>
              <w:t>5</w:t>
            </w:r>
          </w:p>
        </w:tc>
        <w:tc>
          <w:tcPr>
            <w:tcW w:type="dxa" w:w="1606"/>
          </w:tcPr>
          <w:p>
            <w:r>
              <w:rPr>
                <w:sz w:val="18"/>
              </w:rPr>
              <w:t>15</w:t>
            </w:r>
          </w:p>
        </w:tc>
        <w:tc>
          <w:tcPr>
            <w:tcW w:type="dxa" w:w="1606"/>
          </w:tcPr>
          <w:p>
            <w:r>
              <w:rPr>
                <w:sz w:val="18"/>
              </w:rPr>
              <w:t>10</w:t>
            </w:r>
          </w:p>
        </w:tc>
        <w:tc>
          <w:tcPr>
            <w:tcW w:type="dxa" w:w="1606"/>
          </w:tcPr>
          <w:p>
            <w:r>
              <w:rPr>
                <w:sz w:val="18"/>
              </w:rPr>
              <w:t>30</w:t>
            </w:r>
          </w:p>
        </w:tc>
      </w:tr>
      <w:tr>
        <w:trPr>
          <w:cantSplit/>
        </w:trPr>
        <w:tc>
          <w:tcPr>
            <w:tcW w:type="dxa" w:w="1606"/>
          </w:tcPr>
          <w:p>
            <w:r>
              <w:rPr>
                <w:sz w:val="18"/>
              </w:rPr>
              <w:t>Говорение и комплексная практика</w:t>
            </w:r>
          </w:p>
        </w:tc>
        <w:tc>
          <w:tcPr>
            <w:tcW w:type="dxa" w:w="1606"/>
          </w:tcPr>
          <w:p>
            <w:r>
              <w:rPr>
                <w:sz w:val="18"/>
              </w:rPr>
              <w:t>30–34</w:t>
            </w:r>
          </w:p>
        </w:tc>
        <w:tc>
          <w:tcPr>
            <w:tcW w:type="dxa" w:w="1606"/>
          </w:tcPr>
          <w:p>
            <w:r>
              <w:rPr>
                <w:sz w:val="18"/>
              </w:rPr>
              <w:t>5</w:t>
            </w:r>
          </w:p>
        </w:tc>
        <w:tc>
          <w:tcPr>
            <w:tcW w:type="dxa" w:w="1606"/>
          </w:tcPr>
          <w:p>
            <w:r>
              <w:rPr>
                <w:sz w:val="18"/>
              </w:rPr>
              <w:t>15</w:t>
            </w:r>
          </w:p>
        </w:tc>
        <w:tc>
          <w:tcPr>
            <w:tcW w:type="dxa" w:w="1606"/>
          </w:tcPr>
          <w:p>
            <w:r>
              <w:rPr>
                <w:sz w:val="18"/>
              </w:rPr>
              <w:t>10</w:t>
            </w:r>
          </w:p>
        </w:tc>
        <w:tc>
          <w:tcPr>
            <w:tcW w:type="dxa" w:w="1606"/>
          </w:tcPr>
          <w:p>
            <w:r>
              <w:rPr>
                <w:sz w:val="18"/>
              </w:rPr>
              <w:t>30</w:t>
            </w:r>
          </w:p>
        </w:tc>
      </w:tr>
      <w:tr>
        <w:trPr>
          <w:cantSplit/>
        </w:trPr>
        <w:tc>
          <w:tcPr>
            <w:tcW w:type="dxa" w:w="1606"/>
          </w:tcPr>
          <w:p>
            <w:r>
              <w:rPr>
                <w:sz w:val="18"/>
              </w:rPr>
              <w:t>Итоговая работа, коррекция и защита результата</w:t>
            </w:r>
          </w:p>
        </w:tc>
        <w:tc>
          <w:tcPr>
            <w:tcW w:type="dxa" w:w="1606"/>
          </w:tcPr>
          <w:p>
            <w:r>
              <w:rPr>
                <w:sz w:val="18"/>
              </w:rPr>
              <w:t>35–36</w:t>
            </w:r>
          </w:p>
        </w:tc>
        <w:tc>
          <w:tcPr>
            <w:tcW w:type="dxa" w:w="1606"/>
          </w:tcPr>
          <w:p>
            <w:r>
              <w:rPr>
                <w:sz w:val="18"/>
              </w:rPr>
              <w:t>0</w:t>
            </w:r>
          </w:p>
        </w:tc>
        <w:tc>
          <w:tcPr>
            <w:tcW w:type="dxa" w:w="1606"/>
          </w:tcPr>
          <w:p>
            <w:r>
              <w:rPr>
                <w:sz w:val="18"/>
              </w:rPr>
              <w:t>8</w:t>
            </w:r>
          </w:p>
        </w:tc>
        <w:tc>
          <w:tcPr>
            <w:tcW w:type="dxa" w:w="1606"/>
          </w:tcPr>
          <w:p>
            <w:r>
              <w:rPr>
                <w:sz w:val="18"/>
              </w:rPr>
              <w:t>4</w:t>
            </w:r>
          </w:p>
        </w:tc>
        <w:tc>
          <w:tcPr>
            <w:tcW w:type="dxa" w:w="1606"/>
          </w:tcPr>
          <w:p>
            <w:r>
              <w:rPr>
                <w:sz w:val="18"/>
              </w:rPr>
              <w:t>12</w:t>
            </w:r>
          </w:p>
        </w:tc>
      </w:tr>
      <w:tr>
        <w:trPr>
          <w:cantSplit/>
        </w:trPr>
        <w:tc>
          <w:tcPr>
            <w:tcW w:type="dxa" w:w="1606"/>
          </w:tcPr>
          <w:p>
            <w:r>
              <w:rPr>
                <w:sz w:val="18"/>
              </w:rPr>
              <w:t>Итого</w:t>
            </w:r>
          </w:p>
        </w:tc>
        <w:tc>
          <w:tcPr>
            <w:tcW w:type="dxa" w:w="1606"/>
          </w:tcPr>
          <w:p>
            <w:r>
              <w:rPr>
                <w:sz w:val="18"/>
              </w:rPr>
              <w:t>36</w:t>
            </w:r>
          </w:p>
        </w:tc>
        <w:tc>
          <w:tcPr>
            <w:tcW w:type="dxa" w:w="1606"/>
          </w:tcPr>
          <w:p>
            <w:r>
              <w:rPr>
                <w:sz w:val="18"/>
              </w:rPr>
              <w:t>33</w:t>
            </w:r>
          </w:p>
        </w:tc>
        <w:tc>
          <w:tcPr>
            <w:tcW w:type="dxa" w:w="1606"/>
          </w:tcPr>
          <w:p>
            <w:r>
              <w:rPr>
                <w:sz w:val="18"/>
              </w:rPr>
              <w:t>111</w:t>
            </w:r>
          </w:p>
        </w:tc>
        <w:tc>
          <w:tcPr>
            <w:tcW w:type="dxa" w:w="1606"/>
          </w:tcPr>
          <w:p>
            <w:r>
              <w:rPr>
                <w:sz w:val="18"/>
              </w:rPr>
              <w:t>72</w:t>
            </w:r>
          </w:p>
        </w:tc>
        <w:tc>
          <w:tcPr>
            <w:tcW w:type="dxa" w:w="1606"/>
          </w:tcPr>
          <w:p>
            <w:r>
              <w:rPr>
                <w:sz w:val="18"/>
              </w:rPr>
              <w:t>216</w:t>
            </w:r>
          </w:p>
        </w:tc>
      </w:tr>
    </w:tbl>
    <w:p>
      <w:pPr>
        <w:pStyle w:val="Heading1"/>
      </w:pPr>
      <w:r>
        <w:t>5. Рабочая программа модулей</w:t>
      </w:r>
    </w:p>
    <w:p>
      <w:r>
        <w:t>Входная неделя: проверка доступа, стартовые задания по ключевым умениям, короткое объяснение способа и согласование учебного маршрута. Результат: исходная карта умений, а не экзаменационная отметка.</w:t>
      </w:r>
    </w:p>
    <w:p>
      <w:pPr>
        <w:pStyle w:val="Heading2"/>
      </w:pPr>
      <w:r>
        <w:t>5.1. Языковая система</w:t>
      </w:r>
    </w:p>
    <w:p>
      <w:r>
        <w:t>Содержание: Временные формы; Вид и аспект; Пассивный залог; Модальность; Условные конструкции.</w:t>
      </w:r>
    </w:p>
    <w:p>
      <w:r>
        <w:t>Практическая работа: Объяснение различий между вариантами высказывания; редактирование короткого текста.</w:t>
      </w:r>
    </w:p>
    <w:p>
      <w:r>
        <w:t>Проверяемый результат: Выбирает форму по смыслу и коммуникативной задаче.</w:t>
      </w:r>
    </w:p>
    <w:p>
      <w:r>
        <w:t>Текущий контроль: короткий ответ с объяснением, самостоятельное упражнение и анализ одной ошибки. На последней неделе модуля выполняется тематическая работа; результат фиксируется по критериям, затем назначается коррекция.</w:t>
      </w:r>
    </w:p>
    <w:p>
      <w:pPr>
        <w:pStyle w:val="Heading2"/>
      </w:pPr>
      <w:r>
        <w:t>5.2. Лексика и грамматика</w:t>
      </w:r>
    </w:p>
    <w:p>
      <w:r>
        <w:t>Содержание: Косвенная речь; Неличные формы глагола; Артикли и определители; Устойчивые сочетания; Словообразование; Связующие средства.</w:t>
      </w:r>
    </w:p>
    <w:p>
      <w:r>
        <w:t>Практическая работа: Перефразирование без изменения смысла; ведение словаря сочетаний в контексте.</w:t>
      </w:r>
    </w:p>
    <w:p>
      <w:r>
        <w:t>Проверяемый результат: Сохраняет смысл при преобразовании и использует уместную сочетаемость.</w:t>
      </w:r>
    </w:p>
    <w:p>
      <w:r>
        <w:t>Текущий контроль: короткий ответ с объяснением, самостоятельное упражнение и анализ одной ошибки. На последней неделе модуля выполняется тематическая работа; результат фиксируется по критериям, затем назначается коррекция.</w:t>
      </w:r>
    </w:p>
    <w:p>
      <w:pPr>
        <w:pStyle w:val="Heading2"/>
      </w:pPr>
      <w:r>
        <w:t>5.3. Чтение и смысл</w:t>
      </w:r>
    </w:p>
    <w:p>
      <w:r>
        <w:t>Содержание: Главная идея; Структура текста; Связь пропущенного фрагмента; Детали и выводы; Позиция автора; Сопоставление источников.</w:t>
      </w:r>
    </w:p>
    <w:p>
      <w:r>
        <w:t>Практическая работа: Работа с авторским научно-популярным текстом и доказательство ответа фрагментом.</w:t>
      </w:r>
    </w:p>
    <w:p>
      <w:r>
        <w:t>Проверяемый результат: Различает явно сказанное, подразумеваемое и отсутствующее в тексте.</w:t>
      </w:r>
    </w:p>
    <w:p>
      <w:r>
        <w:t>Текущий контроль: короткий ответ с объяснением, самостоятельное упражнение и анализ одной ошибки. На последней неделе модуля выполняется тематическая работа; результат фиксируется по критериям, затем назначается коррекция.</w:t>
      </w:r>
    </w:p>
    <w:p>
      <w:pPr>
        <w:pStyle w:val="Heading2"/>
      </w:pPr>
      <w:r>
        <w:t>5.4. Аудирование</w:t>
      </w:r>
    </w:p>
    <w:p>
      <w:r>
        <w:t>Содержание: Ситуация общения; Основная мысль; Выделение деталей; Точка зрения говорящего; Перефразирование и отвлекающие варианты; Комплексное прослушивание.</w:t>
      </w:r>
    </w:p>
    <w:p>
      <w:r>
        <w:t>Практическая работа: Два прослушивания с разными задачами, затем разбор транскрипта и причин ошибки.</w:t>
      </w:r>
    </w:p>
    <w:p>
      <w:r>
        <w:t>Проверяемый результат: Понимает ключевые факты и позицию говорящего без дословного перевода всей записи.</w:t>
      </w:r>
    </w:p>
    <w:p>
      <w:r>
        <w:t>Текущий контроль: короткий ответ с объяснением, самостоятельное упражнение и анализ одной ошибки. На последней неделе модуля выполняется тематическая работа; результат фиксируется по критериям, затем назначается коррекция.</w:t>
      </w:r>
    </w:p>
    <w:p>
      <w:pPr>
        <w:pStyle w:val="Heading2"/>
      </w:pPr>
      <w:r>
        <w:t>5.5. Письмо</w:t>
      </w:r>
    </w:p>
    <w:p>
      <w:r>
        <w:t>Содержание: Личное электронное сообщение; Описание данных; Сравнение показателей; Проблема и решение; Аргументированный вывод и редактирование.</w:t>
      </w:r>
    </w:p>
    <w:p>
      <w:r>
        <w:t>Практическая работа: Письменная работа по небольшой авторской таблице; проверка чисел и логики сравнения.</w:t>
      </w:r>
    </w:p>
    <w:p>
      <w:r>
        <w:t>Проверяемый результат: Отбирает значимые данные, сравнивает их и формулирует обоснованный вывод.</w:t>
      </w:r>
    </w:p>
    <w:p>
      <w:r>
        <w:t>Текущий контроль: короткий ответ с объяснением, самостоятельное упражнение и анализ одной ошибки. На последней неделе модуля выполняется тематическая работа; результат фиксируется по критериям, затем назначается коррекция.</w:t>
      </w:r>
    </w:p>
    <w:p>
      <w:pPr>
        <w:pStyle w:val="Heading2"/>
      </w:pPr>
      <w:r>
        <w:t>5.6. Говорение и комплексная практика</w:t>
      </w:r>
    </w:p>
    <w:p>
      <w:r>
        <w:t>Содержание: Чтение вслух; Вопросы по ситуации; Ответы на интервью; Сравнение и проектное высказывание; Целостный вариант.</w:t>
      </w:r>
    </w:p>
    <w:p>
      <w:r>
        <w:t>Практическая работа: Устная мини-презентация со сравнением, объяснением выбора и ответами на уточняющие вопросы.</w:t>
      </w:r>
    </w:p>
    <w:p>
      <w:r>
        <w:t>Проверяемый результат: Решает коммуникативную задачу, говорит связно и исправляет оговорку без остановки ответа.</w:t>
      </w:r>
    </w:p>
    <w:p>
      <w:r>
        <w:t>Текущий контроль: короткий ответ с объяснением, самостоятельное упражнение и анализ одной ошибки. На последней неделе модуля выполняется тематическая работа; результат фиксируется по критериям, затем назначается коррекция.</w:t>
      </w:r>
    </w:p>
    <w:p>
      <w:r>
        <w:t>Завершающие недели: целостная работа по содержанию курса, анализ результата, повторная проверка выбранных затруднений и устная защита одного решения. Учебная итоговая работа не выдаётся за официальный вариант или результат ОГЭ/ЕГЭ.</w:t>
      </w:r>
    </w:p>
    <w:p>
      <w:pPr>
        <w:pStyle w:val="Heading1"/>
      </w:pPr>
      <w:r>
        <w:t>6. Календарный учебный график</w:t>
      </w:r>
    </w:p>
    <w:p>
      <w:r>
        <w:t>Две встречи по два академических часа в неделю с перерывом между учебными частями и 90 минут самостоятельной работы. Время указывается по Москве. В 45-минутной части чередуются объяснение, работа на бумаге и обсуждение; это не требование непрерывно смотреть на экран. Возрастные ограничения экранной нагрузки и перерывы устанавливаются в расписании с учётом применимых санитарных норм.</w:t>
      </w:r>
    </w:p>
    <w:p>
      <w:r>
        <w:t>Живые встречи с преподавателем проводятся по видеосвязи. Самостоятельные задания выдаются и проверяются через платформу. Старт набора, каникулы, праздничные дни и даты контрольных работ утверждаются отдельным календарём до зачисления. Ниже приведён относительный график из 36 учебных недель. При пропуске преподаватель назначает материалы и проверку результата; занятие не считается освоенным только по факту подключения.</w:t>
      </w:r>
    </w:p>
    <w:tbl>
      <w:tblPr>
        <w:tblStyle w:val="LightShading-Accent1"/>
        <w:tblW w:type="auto" w:w="0"/>
        <w:tblLook w:firstColumn="1" w:firstRow="1" w:lastColumn="0" w:lastRow="0" w:noHBand="0" w:noVBand="1" w:val="04A0"/>
      </w:tblPr>
      <w:tblGrid>
        <w:gridCol w:w="2409"/>
        <w:gridCol w:w="2409"/>
        <w:gridCol w:w="2409"/>
        <w:gridCol w:w="2409"/>
      </w:tblGrid>
      <w:tr>
        <w:trPr>
          <w:tblHeader/>
          <w:cantSplit/>
        </w:trPr>
        <w:tc>
          <w:tcPr>
            <w:tcW w:type="dxa" w:w="2409"/>
          </w:tcPr>
          <w:p>
            <w:r>
              <w:rPr>
                <w:sz w:val="18"/>
              </w:rPr>
              <w:t>Неделя</w:t>
            </w:r>
          </w:p>
        </w:tc>
        <w:tc>
          <w:tcPr>
            <w:tcW w:type="dxa" w:w="2409"/>
          </w:tcPr>
          <w:p>
            <w:r>
              <w:rPr>
                <w:sz w:val="18"/>
              </w:rPr>
              <w:t>Тема и результат работы</w:t>
            </w:r>
          </w:p>
        </w:tc>
        <w:tc>
          <w:tcPr>
            <w:tcW w:type="dxa" w:w="2409"/>
          </w:tcPr>
          <w:p>
            <w:r>
              <w:rPr>
                <w:sz w:val="18"/>
              </w:rPr>
              <w:t>Контактные часы</w:t>
            </w:r>
          </w:p>
        </w:tc>
        <w:tc>
          <w:tcPr>
            <w:tcW w:type="dxa" w:w="2409"/>
          </w:tcPr>
          <w:p>
            <w:r>
              <w:rPr>
                <w:sz w:val="18"/>
              </w:rPr>
              <w:t>Самостоятельные часы</w:t>
            </w:r>
          </w:p>
        </w:tc>
      </w:tr>
      <w:tr>
        <w:trPr>
          <w:cantSplit/>
        </w:trPr>
        <w:tc>
          <w:tcPr>
            <w:tcW w:type="dxa" w:w="2409"/>
          </w:tcPr>
          <w:p>
            <w:r>
              <w:rPr>
                <w:sz w:val="18"/>
              </w:rPr>
              <w:t>1</w:t>
            </w:r>
          </w:p>
        </w:tc>
        <w:tc>
          <w:tcPr>
            <w:tcW w:type="dxa" w:w="2409"/>
          </w:tcPr>
          <w:p>
            <w:r>
              <w:rPr>
                <w:sz w:val="18"/>
              </w:rPr>
              <w:t>Входная диагностика, проверка доступа, карта умений</w:t>
            </w:r>
          </w:p>
        </w:tc>
        <w:tc>
          <w:tcPr>
            <w:tcW w:type="dxa" w:w="2409"/>
          </w:tcPr>
          <w:p>
            <w:r>
              <w:rPr>
                <w:sz w:val="18"/>
              </w:rPr>
              <w:t>4</w:t>
            </w:r>
          </w:p>
        </w:tc>
        <w:tc>
          <w:tcPr>
            <w:tcW w:type="dxa" w:w="2409"/>
          </w:tcPr>
          <w:p>
            <w:r>
              <w:rPr>
                <w:sz w:val="18"/>
              </w:rPr>
              <w:t>2</w:t>
            </w:r>
          </w:p>
        </w:tc>
      </w:tr>
      <w:tr>
        <w:trPr>
          <w:cantSplit/>
        </w:trPr>
        <w:tc>
          <w:tcPr>
            <w:tcW w:type="dxa" w:w="2409"/>
          </w:tcPr>
          <w:p>
            <w:r>
              <w:rPr>
                <w:sz w:val="18"/>
              </w:rPr>
              <w:t>2</w:t>
            </w:r>
          </w:p>
        </w:tc>
        <w:tc>
          <w:tcPr>
            <w:tcW w:type="dxa" w:w="2409"/>
          </w:tcPr>
          <w:p>
            <w:r>
              <w:rPr>
                <w:sz w:val="18"/>
              </w:rPr>
              <w:t>Временные формы</w:t>
            </w:r>
          </w:p>
        </w:tc>
        <w:tc>
          <w:tcPr>
            <w:tcW w:type="dxa" w:w="2409"/>
          </w:tcPr>
          <w:p>
            <w:r>
              <w:rPr>
                <w:sz w:val="18"/>
              </w:rPr>
              <w:t>4</w:t>
            </w:r>
          </w:p>
        </w:tc>
        <w:tc>
          <w:tcPr>
            <w:tcW w:type="dxa" w:w="2409"/>
          </w:tcPr>
          <w:p>
            <w:r>
              <w:rPr>
                <w:sz w:val="18"/>
              </w:rPr>
              <w:t>2</w:t>
            </w:r>
          </w:p>
        </w:tc>
      </w:tr>
      <w:tr>
        <w:trPr>
          <w:cantSplit/>
        </w:trPr>
        <w:tc>
          <w:tcPr>
            <w:tcW w:type="dxa" w:w="2409"/>
          </w:tcPr>
          <w:p>
            <w:r>
              <w:rPr>
                <w:sz w:val="18"/>
              </w:rPr>
              <w:t>3</w:t>
            </w:r>
          </w:p>
        </w:tc>
        <w:tc>
          <w:tcPr>
            <w:tcW w:type="dxa" w:w="2409"/>
          </w:tcPr>
          <w:p>
            <w:r>
              <w:rPr>
                <w:sz w:val="18"/>
              </w:rPr>
              <w:t>Вид и аспект</w:t>
            </w:r>
          </w:p>
        </w:tc>
        <w:tc>
          <w:tcPr>
            <w:tcW w:type="dxa" w:w="2409"/>
          </w:tcPr>
          <w:p>
            <w:r>
              <w:rPr>
                <w:sz w:val="18"/>
              </w:rPr>
              <w:t>4</w:t>
            </w:r>
          </w:p>
        </w:tc>
        <w:tc>
          <w:tcPr>
            <w:tcW w:type="dxa" w:w="2409"/>
          </w:tcPr>
          <w:p>
            <w:r>
              <w:rPr>
                <w:sz w:val="18"/>
              </w:rPr>
              <w:t>2</w:t>
            </w:r>
          </w:p>
        </w:tc>
      </w:tr>
      <w:tr>
        <w:trPr>
          <w:cantSplit/>
        </w:trPr>
        <w:tc>
          <w:tcPr>
            <w:tcW w:type="dxa" w:w="2409"/>
          </w:tcPr>
          <w:p>
            <w:r>
              <w:rPr>
                <w:sz w:val="18"/>
              </w:rPr>
              <w:t>4</w:t>
            </w:r>
          </w:p>
        </w:tc>
        <w:tc>
          <w:tcPr>
            <w:tcW w:type="dxa" w:w="2409"/>
          </w:tcPr>
          <w:p>
            <w:r>
              <w:rPr>
                <w:sz w:val="18"/>
              </w:rPr>
              <w:t>Пассивный залог</w:t>
            </w:r>
          </w:p>
        </w:tc>
        <w:tc>
          <w:tcPr>
            <w:tcW w:type="dxa" w:w="2409"/>
          </w:tcPr>
          <w:p>
            <w:r>
              <w:rPr>
                <w:sz w:val="18"/>
              </w:rPr>
              <w:t>4</w:t>
            </w:r>
          </w:p>
        </w:tc>
        <w:tc>
          <w:tcPr>
            <w:tcW w:type="dxa" w:w="2409"/>
          </w:tcPr>
          <w:p>
            <w:r>
              <w:rPr>
                <w:sz w:val="18"/>
              </w:rPr>
              <w:t>2</w:t>
            </w:r>
          </w:p>
        </w:tc>
      </w:tr>
      <w:tr>
        <w:trPr>
          <w:cantSplit/>
        </w:trPr>
        <w:tc>
          <w:tcPr>
            <w:tcW w:type="dxa" w:w="2409"/>
          </w:tcPr>
          <w:p>
            <w:r>
              <w:rPr>
                <w:sz w:val="18"/>
              </w:rPr>
              <w:t>5</w:t>
            </w:r>
          </w:p>
        </w:tc>
        <w:tc>
          <w:tcPr>
            <w:tcW w:type="dxa" w:w="2409"/>
          </w:tcPr>
          <w:p>
            <w:r>
              <w:rPr>
                <w:sz w:val="18"/>
              </w:rPr>
              <w:t>Модальность</w:t>
            </w:r>
          </w:p>
        </w:tc>
        <w:tc>
          <w:tcPr>
            <w:tcW w:type="dxa" w:w="2409"/>
          </w:tcPr>
          <w:p>
            <w:r>
              <w:rPr>
                <w:sz w:val="18"/>
              </w:rPr>
              <w:t>4</w:t>
            </w:r>
          </w:p>
        </w:tc>
        <w:tc>
          <w:tcPr>
            <w:tcW w:type="dxa" w:w="2409"/>
          </w:tcPr>
          <w:p>
            <w:r>
              <w:rPr>
                <w:sz w:val="18"/>
              </w:rPr>
              <w:t>2</w:t>
            </w:r>
          </w:p>
        </w:tc>
      </w:tr>
      <w:tr>
        <w:trPr>
          <w:cantSplit/>
        </w:trPr>
        <w:tc>
          <w:tcPr>
            <w:tcW w:type="dxa" w:w="2409"/>
          </w:tcPr>
          <w:p>
            <w:r>
              <w:rPr>
                <w:sz w:val="18"/>
              </w:rPr>
              <w:t>6</w:t>
            </w:r>
          </w:p>
        </w:tc>
        <w:tc>
          <w:tcPr>
            <w:tcW w:type="dxa" w:w="2409"/>
          </w:tcPr>
          <w:p>
            <w:r>
              <w:rPr>
                <w:sz w:val="18"/>
              </w:rPr>
              <w:t>Условные конструкции</w:t>
            </w:r>
          </w:p>
        </w:tc>
        <w:tc>
          <w:tcPr>
            <w:tcW w:type="dxa" w:w="2409"/>
          </w:tcPr>
          <w:p>
            <w:r>
              <w:rPr>
                <w:sz w:val="18"/>
              </w:rPr>
              <w:t>4</w:t>
            </w:r>
          </w:p>
        </w:tc>
        <w:tc>
          <w:tcPr>
            <w:tcW w:type="dxa" w:w="2409"/>
          </w:tcPr>
          <w:p>
            <w:r>
              <w:rPr>
                <w:sz w:val="18"/>
              </w:rPr>
              <w:t>2</w:t>
            </w:r>
          </w:p>
        </w:tc>
      </w:tr>
      <w:tr>
        <w:trPr>
          <w:cantSplit/>
        </w:trPr>
        <w:tc>
          <w:tcPr>
            <w:tcW w:type="dxa" w:w="2409"/>
          </w:tcPr>
          <w:p>
            <w:r>
              <w:rPr>
                <w:sz w:val="18"/>
              </w:rPr>
              <w:t>7</w:t>
            </w:r>
          </w:p>
        </w:tc>
        <w:tc>
          <w:tcPr>
            <w:tcW w:type="dxa" w:w="2409"/>
          </w:tcPr>
          <w:p>
            <w:r>
              <w:rPr>
                <w:sz w:val="18"/>
              </w:rPr>
              <w:t>Косвенная речь</w:t>
            </w:r>
          </w:p>
        </w:tc>
        <w:tc>
          <w:tcPr>
            <w:tcW w:type="dxa" w:w="2409"/>
          </w:tcPr>
          <w:p>
            <w:r>
              <w:rPr>
                <w:sz w:val="18"/>
              </w:rPr>
              <w:t>4</w:t>
            </w:r>
          </w:p>
        </w:tc>
        <w:tc>
          <w:tcPr>
            <w:tcW w:type="dxa" w:w="2409"/>
          </w:tcPr>
          <w:p>
            <w:r>
              <w:rPr>
                <w:sz w:val="18"/>
              </w:rPr>
              <w:t>2</w:t>
            </w:r>
          </w:p>
        </w:tc>
      </w:tr>
      <w:tr>
        <w:trPr>
          <w:cantSplit/>
        </w:trPr>
        <w:tc>
          <w:tcPr>
            <w:tcW w:type="dxa" w:w="2409"/>
          </w:tcPr>
          <w:p>
            <w:r>
              <w:rPr>
                <w:sz w:val="18"/>
              </w:rPr>
              <w:t>8</w:t>
            </w:r>
          </w:p>
        </w:tc>
        <w:tc>
          <w:tcPr>
            <w:tcW w:type="dxa" w:w="2409"/>
          </w:tcPr>
          <w:p>
            <w:r>
              <w:rPr>
                <w:sz w:val="18"/>
              </w:rPr>
              <w:t>Неличные формы глагола</w:t>
            </w:r>
          </w:p>
        </w:tc>
        <w:tc>
          <w:tcPr>
            <w:tcW w:type="dxa" w:w="2409"/>
          </w:tcPr>
          <w:p>
            <w:r>
              <w:rPr>
                <w:sz w:val="18"/>
              </w:rPr>
              <w:t>4</w:t>
            </w:r>
          </w:p>
        </w:tc>
        <w:tc>
          <w:tcPr>
            <w:tcW w:type="dxa" w:w="2409"/>
          </w:tcPr>
          <w:p>
            <w:r>
              <w:rPr>
                <w:sz w:val="18"/>
              </w:rPr>
              <w:t>2</w:t>
            </w:r>
          </w:p>
        </w:tc>
      </w:tr>
      <w:tr>
        <w:trPr>
          <w:cantSplit/>
        </w:trPr>
        <w:tc>
          <w:tcPr>
            <w:tcW w:type="dxa" w:w="2409"/>
          </w:tcPr>
          <w:p>
            <w:r>
              <w:rPr>
                <w:sz w:val="18"/>
              </w:rPr>
              <w:t>9</w:t>
            </w:r>
          </w:p>
        </w:tc>
        <w:tc>
          <w:tcPr>
            <w:tcW w:type="dxa" w:w="2409"/>
          </w:tcPr>
          <w:p>
            <w:r>
              <w:rPr>
                <w:sz w:val="18"/>
              </w:rPr>
              <w:t>Артикли и определители</w:t>
            </w:r>
          </w:p>
        </w:tc>
        <w:tc>
          <w:tcPr>
            <w:tcW w:type="dxa" w:w="2409"/>
          </w:tcPr>
          <w:p>
            <w:r>
              <w:rPr>
                <w:sz w:val="18"/>
              </w:rPr>
              <w:t>4</w:t>
            </w:r>
          </w:p>
        </w:tc>
        <w:tc>
          <w:tcPr>
            <w:tcW w:type="dxa" w:w="2409"/>
          </w:tcPr>
          <w:p>
            <w:r>
              <w:rPr>
                <w:sz w:val="18"/>
              </w:rPr>
              <w:t>2</w:t>
            </w:r>
          </w:p>
        </w:tc>
      </w:tr>
      <w:tr>
        <w:trPr>
          <w:cantSplit/>
        </w:trPr>
        <w:tc>
          <w:tcPr>
            <w:tcW w:type="dxa" w:w="2409"/>
          </w:tcPr>
          <w:p>
            <w:r>
              <w:rPr>
                <w:sz w:val="18"/>
              </w:rPr>
              <w:t>10</w:t>
            </w:r>
          </w:p>
        </w:tc>
        <w:tc>
          <w:tcPr>
            <w:tcW w:type="dxa" w:w="2409"/>
          </w:tcPr>
          <w:p>
            <w:r>
              <w:rPr>
                <w:sz w:val="18"/>
              </w:rPr>
              <w:t>Устойчивые сочетания</w:t>
            </w:r>
          </w:p>
        </w:tc>
        <w:tc>
          <w:tcPr>
            <w:tcW w:type="dxa" w:w="2409"/>
          </w:tcPr>
          <w:p>
            <w:r>
              <w:rPr>
                <w:sz w:val="18"/>
              </w:rPr>
              <w:t>4</w:t>
            </w:r>
          </w:p>
        </w:tc>
        <w:tc>
          <w:tcPr>
            <w:tcW w:type="dxa" w:w="2409"/>
          </w:tcPr>
          <w:p>
            <w:r>
              <w:rPr>
                <w:sz w:val="18"/>
              </w:rPr>
              <w:t>2</w:t>
            </w:r>
          </w:p>
        </w:tc>
      </w:tr>
      <w:tr>
        <w:trPr>
          <w:cantSplit/>
        </w:trPr>
        <w:tc>
          <w:tcPr>
            <w:tcW w:type="dxa" w:w="2409"/>
          </w:tcPr>
          <w:p>
            <w:r>
              <w:rPr>
                <w:sz w:val="18"/>
              </w:rPr>
              <w:t>11</w:t>
            </w:r>
          </w:p>
        </w:tc>
        <w:tc>
          <w:tcPr>
            <w:tcW w:type="dxa" w:w="2409"/>
          </w:tcPr>
          <w:p>
            <w:r>
              <w:rPr>
                <w:sz w:val="18"/>
              </w:rPr>
              <w:t>Словообразование</w:t>
            </w:r>
          </w:p>
        </w:tc>
        <w:tc>
          <w:tcPr>
            <w:tcW w:type="dxa" w:w="2409"/>
          </w:tcPr>
          <w:p>
            <w:r>
              <w:rPr>
                <w:sz w:val="18"/>
              </w:rPr>
              <w:t>4</w:t>
            </w:r>
          </w:p>
        </w:tc>
        <w:tc>
          <w:tcPr>
            <w:tcW w:type="dxa" w:w="2409"/>
          </w:tcPr>
          <w:p>
            <w:r>
              <w:rPr>
                <w:sz w:val="18"/>
              </w:rPr>
              <w:t>2</w:t>
            </w:r>
          </w:p>
        </w:tc>
      </w:tr>
      <w:tr>
        <w:trPr>
          <w:cantSplit/>
        </w:trPr>
        <w:tc>
          <w:tcPr>
            <w:tcW w:type="dxa" w:w="2409"/>
          </w:tcPr>
          <w:p>
            <w:r>
              <w:rPr>
                <w:sz w:val="18"/>
              </w:rPr>
              <w:t>12</w:t>
            </w:r>
          </w:p>
        </w:tc>
        <w:tc>
          <w:tcPr>
            <w:tcW w:type="dxa" w:w="2409"/>
          </w:tcPr>
          <w:p>
            <w:r>
              <w:rPr>
                <w:sz w:val="18"/>
              </w:rPr>
              <w:t>Связующие средства</w:t>
            </w:r>
          </w:p>
        </w:tc>
        <w:tc>
          <w:tcPr>
            <w:tcW w:type="dxa" w:w="2409"/>
          </w:tcPr>
          <w:p>
            <w:r>
              <w:rPr>
                <w:sz w:val="18"/>
              </w:rPr>
              <w:t>4</w:t>
            </w:r>
          </w:p>
        </w:tc>
        <w:tc>
          <w:tcPr>
            <w:tcW w:type="dxa" w:w="2409"/>
          </w:tcPr>
          <w:p>
            <w:r>
              <w:rPr>
                <w:sz w:val="18"/>
              </w:rPr>
              <w:t>2</w:t>
            </w:r>
          </w:p>
        </w:tc>
      </w:tr>
      <w:tr>
        <w:trPr>
          <w:cantSplit/>
        </w:trPr>
        <w:tc>
          <w:tcPr>
            <w:tcW w:type="dxa" w:w="2409"/>
          </w:tcPr>
          <w:p>
            <w:r>
              <w:rPr>
                <w:sz w:val="18"/>
              </w:rPr>
              <w:t>13</w:t>
            </w:r>
          </w:p>
        </w:tc>
        <w:tc>
          <w:tcPr>
            <w:tcW w:type="dxa" w:w="2409"/>
          </w:tcPr>
          <w:p>
            <w:r>
              <w:rPr>
                <w:sz w:val="18"/>
              </w:rPr>
              <w:t>Главная идея</w:t>
            </w:r>
          </w:p>
        </w:tc>
        <w:tc>
          <w:tcPr>
            <w:tcW w:type="dxa" w:w="2409"/>
          </w:tcPr>
          <w:p>
            <w:r>
              <w:rPr>
                <w:sz w:val="18"/>
              </w:rPr>
              <w:t>4</w:t>
            </w:r>
          </w:p>
        </w:tc>
        <w:tc>
          <w:tcPr>
            <w:tcW w:type="dxa" w:w="2409"/>
          </w:tcPr>
          <w:p>
            <w:r>
              <w:rPr>
                <w:sz w:val="18"/>
              </w:rPr>
              <w:t>2</w:t>
            </w:r>
          </w:p>
        </w:tc>
      </w:tr>
      <w:tr>
        <w:trPr>
          <w:cantSplit/>
        </w:trPr>
        <w:tc>
          <w:tcPr>
            <w:tcW w:type="dxa" w:w="2409"/>
          </w:tcPr>
          <w:p>
            <w:r>
              <w:rPr>
                <w:sz w:val="18"/>
              </w:rPr>
              <w:t>14</w:t>
            </w:r>
          </w:p>
        </w:tc>
        <w:tc>
          <w:tcPr>
            <w:tcW w:type="dxa" w:w="2409"/>
          </w:tcPr>
          <w:p>
            <w:r>
              <w:rPr>
                <w:sz w:val="18"/>
              </w:rPr>
              <w:t>Структура текста</w:t>
            </w:r>
          </w:p>
        </w:tc>
        <w:tc>
          <w:tcPr>
            <w:tcW w:type="dxa" w:w="2409"/>
          </w:tcPr>
          <w:p>
            <w:r>
              <w:rPr>
                <w:sz w:val="18"/>
              </w:rPr>
              <w:t>4</w:t>
            </w:r>
          </w:p>
        </w:tc>
        <w:tc>
          <w:tcPr>
            <w:tcW w:type="dxa" w:w="2409"/>
          </w:tcPr>
          <w:p>
            <w:r>
              <w:rPr>
                <w:sz w:val="18"/>
              </w:rPr>
              <w:t>2</w:t>
            </w:r>
          </w:p>
        </w:tc>
      </w:tr>
      <w:tr>
        <w:trPr>
          <w:cantSplit/>
        </w:trPr>
        <w:tc>
          <w:tcPr>
            <w:tcW w:type="dxa" w:w="2409"/>
          </w:tcPr>
          <w:p>
            <w:r>
              <w:rPr>
                <w:sz w:val="18"/>
              </w:rPr>
              <w:t>15</w:t>
            </w:r>
          </w:p>
        </w:tc>
        <w:tc>
          <w:tcPr>
            <w:tcW w:type="dxa" w:w="2409"/>
          </w:tcPr>
          <w:p>
            <w:r>
              <w:rPr>
                <w:sz w:val="18"/>
              </w:rPr>
              <w:t>Связь пропущенного фрагмента</w:t>
            </w:r>
          </w:p>
        </w:tc>
        <w:tc>
          <w:tcPr>
            <w:tcW w:type="dxa" w:w="2409"/>
          </w:tcPr>
          <w:p>
            <w:r>
              <w:rPr>
                <w:sz w:val="18"/>
              </w:rPr>
              <w:t>4</w:t>
            </w:r>
          </w:p>
        </w:tc>
        <w:tc>
          <w:tcPr>
            <w:tcW w:type="dxa" w:w="2409"/>
          </w:tcPr>
          <w:p>
            <w:r>
              <w:rPr>
                <w:sz w:val="18"/>
              </w:rPr>
              <w:t>2</w:t>
            </w:r>
          </w:p>
        </w:tc>
      </w:tr>
      <w:tr>
        <w:trPr>
          <w:cantSplit/>
        </w:trPr>
        <w:tc>
          <w:tcPr>
            <w:tcW w:type="dxa" w:w="2409"/>
          </w:tcPr>
          <w:p>
            <w:r>
              <w:rPr>
                <w:sz w:val="18"/>
              </w:rPr>
              <w:t>16</w:t>
            </w:r>
          </w:p>
        </w:tc>
        <w:tc>
          <w:tcPr>
            <w:tcW w:type="dxa" w:w="2409"/>
          </w:tcPr>
          <w:p>
            <w:r>
              <w:rPr>
                <w:sz w:val="18"/>
              </w:rPr>
              <w:t>Детали и выводы</w:t>
            </w:r>
          </w:p>
        </w:tc>
        <w:tc>
          <w:tcPr>
            <w:tcW w:type="dxa" w:w="2409"/>
          </w:tcPr>
          <w:p>
            <w:r>
              <w:rPr>
                <w:sz w:val="18"/>
              </w:rPr>
              <w:t>4</w:t>
            </w:r>
          </w:p>
        </w:tc>
        <w:tc>
          <w:tcPr>
            <w:tcW w:type="dxa" w:w="2409"/>
          </w:tcPr>
          <w:p>
            <w:r>
              <w:rPr>
                <w:sz w:val="18"/>
              </w:rPr>
              <w:t>2</w:t>
            </w:r>
          </w:p>
        </w:tc>
      </w:tr>
      <w:tr>
        <w:trPr>
          <w:cantSplit/>
        </w:trPr>
        <w:tc>
          <w:tcPr>
            <w:tcW w:type="dxa" w:w="2409"/>
          </w:tcPr>
          <w:p>
            <w:r>
              <w:rPr>
                <w:sz w:val="18"/>
              </w:rPr>
              <w:t>17</w:t>
            </w:r>
          </w:p>
        </w:tc>
        <w:tc>
          <w:tcPr>
            <w:tcW w:type="dxa" w:w="2409"/>
          </w:tcPr>
          <w:p>
            <w:r>
              <w:rPr>
                <w:sz w:val="18"/>
              </w:rPr>
              <w:t>Позиция автора</w:t>
            </w:r>
          </w:p>
        </w:tc>
        <w:tc>
          <w:tcPr>
            <w:tcW w:type="dxa" w:w="2409"/>
          </w:tcPr>
          <w:p>
            <w:r>
              <w:rPr>
                <w:sz w:val="18"/>
              </w:rPr>
              <w:t>4</w:t>
            </w:r>
          </w:p>
        </w:tc>
        <w:tc>
          <w:tcPr>
            <w:tcW w:type="dxa" w:w="2409"/>
          </w:tcPr>
          <w:p>
            <w:r>
              <w:rPr>
                <w:sz w:val="18"/>
              </w:rPr>
              <w:t>2</w:t>
            </w:r>
          </w:p>
        </w:tc>
      </w:tr>
      <w:tr>
        <w:trPr>
          <w:cantSplit/>
        </w:trPr>
        <w:tc>
          <w:tcPr>
            <w:tcW w:type="dxa" w:w="2409"/>
          </w:tcPr>
          <w:p>
            <w:r>
              <w:rPr>
                <w:sz w:val="18"/>
              </w:rPr>
              <w:t>18</w:t>
            </w:r>
          </w:p>
        </w:tc>
        <w:tc>
          <w:tcPr>
            <w:tcW w:type="dxa" w:w="2409"/>
          </w:tcPr>
          <w:p>
            <w:r>
              <w:rPr>
                <w:sz w:val="18"/>
              </w:rPr>
              <w:t>Сопоставление источников</w:t>
            </w:r>
          </w:p>
        </w:tc>
        <w:tc>
          <w:tcPr>
            <w:tcW w:type="dxa" w:w="2409"/>
          </w:tcPr>
          <w:p>
            <w:r>
              <w:rPr>
                <w:sz w:val="18"/>
              </w:rPr>
              <w:t>4</w:t>
            </w:r>
          </w:p>
        </w:tc>
        <w:tc>
          <w:tcPr>
            <w:tcW w:type="dxa" w:w="2409"/>
          </w:tcPr>
          <w:p>
            <w:r>
              <w:rPr>
                <w:sz w:val="18"/>
              </w:rPr>
              <w:t>2</w:t>
            </w:r>
          </w:p>
        </w:tc>
      </w:tr>
      <w:tr>
        <w:trPr>
          <w:cantSplit/>
        </w:trPr>
        <w:tc>
          <w:tcPr>
            <w:tcW w:type="dxa" w:w="2409"/>
          </w:tcPr>
          <w:p>
            <w:r>
              <w:rPr>
                <w:sz w:val="18"/>
              </w:rPr>
              <w:t>19</w:t>
            </w:r>
          </w:p>
        </w:tc>
        <w:tc>
          <w:tcPr>
            <w:tcW w:type="dxa" w:w="2409"/>
          </w:tcPr>
          <w:p>
            <w:r>
              <w:rPr>
                <w:sz w:val="18"/>
              </w:rPr>
              <w:t>Ситуация общения</w:t>
            </w:r>
          </w:p>
        </w:tc>
        <w:tc>
          <w:tcPr>
            <w:tcW w:type="dxa" w:w="2409"/>
          </w:tcPr>
          <w:p>
            <w:r>
              <w:rPr>
                <w:sz w:val="18"/>
              </w:rPr>
              <w:t>4</w:t>
            </w:r>
          </w:p>
        </w:tc>
        <w:tc>
          <w:tcPr>
            <w:tcW w:type="dxa" w:w="2409"/>
          </w:tcPr>
          <w:p>
            <w:r>
              <w:rPr>
                <w:sz w:val="18"/>
              </w:rPr>
              <w:t>2</w:t>
            </w:r>
          </w:p>
        </w:tc>
      </w:tr>
      <w:tr>
        <w:trPr>
          <w:cantSplit/>
        </w:trPr>
        <w:tc>
          <w:tcPr>
            <w:tcW w:type="dxa" w:w="2409"/>
          </w:tcPr>
          <w:p>
            <w:r>
              <w:rPr>
                <w:sz w:val="18"/>
              </w:rPr>
              <w:t>20</w:t>
            </w:r>
          </w:p>
        </w:tc>
        <w:tc>
          <w:tcPr>
            <w:tcW w:type="dxa" w:w="2409"/>
          </w:tcPr>
          <w:p>
            <w:r>
              <w:rPr>
                <w:sz w:val="18"/>
              </w:rPr>
              <w:t>Основная мысль</w:t>
            </w:r>
          </w:p>
        </w:tc>
        <w:tc>
          <w:tcPr>
            <w:tcW w:type="dxa" w:w="2409"/>
          </w:tcPr>
          <w:p>
            <w:r>
              <w:rPr>
                <w:sz w:val="18"/>
              </w:rPr>
              <w:t>4</w:t>
            </w:r>
          </w:p>
        </w:tc>
        <w:tc>
          <w:tcPr>
            <w:tcW w:type="dxa" w:w="2409"/>
          </w:tcPr>
          <w:p>
            <w:r>
              <w:rPr>
                <w:sz w:val="18"/>
              </w:rPr>
              <w:t>2</w:t>
            </w:r>
          </w:p>
        </w:tc>
      </w:tr>
      <w:tr>
        <w:trPr>
          <w:cantSplit/>
        </w:trPr>
        <w:tc>
          <w:tcPr>
            <w:tcW w:type="dxa" w:w="2409"/>
          </w:tcPr>
          <w:p>
            <w:r>
              <w:rPr>
                <w:sz w:val="18"/>
              </w:rPr>
              <w:t>21</w:t>
            </w:r>
          </w:p>
        </w:tc>
        <w:tc>
          <w:tcPr>
            <w:tcW w:type="dxa" w:w="2409"/>
          </w:tcPr>
          <w:p>
            <w:r>
              <w:rPr>
                <w:sz w:val="18"/>
              </w:rPr>
              <w:t>Выделение деталей</w:t>
            </w:r>
          </w:p>
        </w:tc>
        <w:tc>
          <w:tcPr>
            <w:tcW w:type="dxa" w:w="2409"/>
          </w:tcPr>
          <w:p>
            <w:r>
              <w:rPr>
                <w:sz w:val="18"/>
              </w:rPr>
              <w:t>4</w:t>
            </w:r>
          </w:p>
        </w:tc>
        <w:tc>
          <w:tcPr>
            <w:tcW w:type="dxa" w:w="2409"/>
          </w:tcPr>
          <w:p>
            <w:r>
              <w:rPr>
                <w:sz w:val="18"/>
              </w:rPr>
              <w:t>2</w:t>
            </w:r>
          </w:p>
        </w:tc>
      </w:tr>
      <w:tr>
        <w:trPr>
          <w:cantSplit/>
        </w:trPr>
        <w:tc>
          <w:tcPr>
            <w:tcW w:type="dxa" w:w="2409"/>
          </w:tcPr>
          <w:p>
            <w:r>
              <w:rPr>
                <w:sz w:val="18"/>
              </w:rPr>
              <w:t>22</w:t>
            </w:r>
          </w:p>
        </w:tc>
        <w:tc>
          <w:tcPr>
            <w:tcW w:type="dxa" w:w="2409"/>
          </w:tcPr>
          <w:p>
            <w:r>
              <w:rPr>
                <w:sz w:val="18"/>
              </w:rPr>
              <w:t>Точка зрения говорящего</w:t>
            </w:r>
          </w:p>
        </w:tc>
        <w:tc>
          <w:tcPr>
            <w:tcW w:type="dxa" w:w="2409"/>
          </w:tcPr>
          <w:p>
            <w:r>
              <w:rPr>
                <w:sz w:val="18"/>
              </w:rPr>
              <w:t>4</w:t>
            </w:r>
          </w:p>
        </w:tc>
        <w:tc>
          <w:tcPr>
            <w:tcW w:type="dxa" w:w="2409"/>
          </w:tcPr>
          <w:p>
            <w:r>
              <w:rPr>
                <w:sz w:val="18"/>
              </w:rPr>
              <w:t>2</w:t>
            </w:r>
          </w:p>
        </w:tc>
      </w:tr>
      <w:tr>
        <w:trPr>
          <w:cantSplit/>
        </w:trPr>
        <w:tc>
          <w:tcPr>
            <w:tcW w:type="dxa" w:w="2409"/>
          </w:tcPr>
          <w:p>
            <w:r>
              <w:rPr>
                <w:sz w:val="18"/>
              </w:rPr>
              <w:t>23</w:t>
            </w:r>
          </w:p>
        </w:tc>
        <w:tc>
          <w:tcPr>
            <w:tcW w:type="dxa" w:w="2409"/>
          </w:tcPr>
          <w:p>
            <w:r>
              <w:rPr>
                <w:sz w:val="18"/>
              </w:rPr>
              <w:t>Перефразирование и отвлекающие варианты</w:t>
            </w:r>
          </w:p>
        </w:tc>
        <w:tc>
          <w:tcPr>
            <w:tcW w:type="dxa" w:w="2409"/>
          </w:tcPr>
          <w:p>
            <w:r>
              <w:rPr>
                <w:sz w:val="18"/>
              </w:rPr>
              <w:t>4</w:t>
            </w:r>
          </w:p>
        </w:tc>
        <w:tc>
          <w:tcPr>
            <w:tcW w:type="dxa" w:w="2409"/>
          </w:tcPr>
          <w:p>
            <w:r>
              <w:rPr>
                <w:sz w:val="18"/>
              </w:rPr>
              <w:t>2</w:t>
            </w:r>
          </w:p>
        </w:tc>
      </w:tr>
      <w:tr>
        <w:trPr>
          <w:cantSplit/>
        </w:trPr>
        <w:tc>
          <w:tcPr>
            <w:tcW w:type="dxa" w:w="2409"/>
          </w:tcPr>
          <w:p>
            <w:r>
              <w:rPr>
                <w:sz w:val="18"/>
              </w:rPr>
              <w:t>24</w:t>
            </w:r>
          </w:p>
        </w:tc>
        <w:tc>
          <w:tcPr>
            <w:tcW w:type="dxa" w:w="2409"/>
          </w:tcPr>
          <w:p>
            <w:r>
              <w:rPr>
                <w:sz w:val="18"/>
              </w:rPr>
              <w:t>Комплексное прослушивание</w:t>
            </w:r>
          </w:p>
        </w:tc>
        <w:tc>
          <w:tcPr>
            <w:tcW w:type="dxa" w:w="2409"/>
          </w:tcPr>
          <w:p>
            <w:r>
              <w:rPr>
                <w:sz w:val="18"/>
              </w:rPr>
              <w:t>4</w:t>
            </w:r>
          </w:p>
        </w:tc>
        <w:tc>
          <w:tcPr>
            <w:tcW w:type="dxa" w:w="2409"/>
          </w:tcPr>
          <w:p>
            <w:r>
              <w:rPr>
                <w:sz w:val="18"/>
              </w:rPr>
              <w:t>2</w:t>
            </w:r>
          </w:p>
        </w:tc>
      </w:tr>
      <w:tr>
        <w:trPr>
          <w:cantSplit/>
        </w:trPr>
        <w:tc>
          <w:tcPr>
            <w:tcW w:type="dxa" w:w="2409"/>
          </w:tcPr>
          <w:p>
            <w:r>
              <w:rPr>
                <w:sz w:val="18"/>
              </w:rPr>
              <w:t>25</w:t>
            </w:r>
          </w:p>
        </w:tc>
        <w:tc>
          <w:tcPr>
            <w:tcW w:type="dxa" w:w="2409"/>
          </w:tcPr>
          <w:p>
            <w:r>
              <w:rPr>
                <w:sz w:val="18"/>
              </w:rPr>
              <w:t>Личное электронное сообщение</w:t>
            </w:r>
          </w:p>
        </w:tc>
        <w:tc>
          <w:tcPr>
            <w:tcW w:type="dxa" w:w="2409"/>
          </w:tcPr>
          <w:p>
            <w:r>
              <w:rPr>
                <w:sz w:val="18"/>
              </w:rPr>
              <w:t>4</w:t>
            </w:r>
          </w:p>
        </w:tc>
        <w:tc>
          <w:tcPr>
            <w:tcW w:type="dxa" w:w="2409"/>
          </w:tcPr>
          <w:p>
            <w:r>
              <w:rPr>
                <w:sz w:val="18"/>
              </w:rPr>
              <w:t>2</w:t>
            </w:r>
          </w:p>
        </w:tc>
      </w:tr>
      <w:tr>
        <w:trPr>
          <w:cantSplit/>
        </w:trPr>
        <w:tc>
          <w:tcPr>
            <w:tcW w:type="dxa" w:w="2409"/>
          </w:tcPr>
          <w:p>
            <w:r>
              <w:rPr>
                <w:sz w:val="18"/>
              </w:rPr>
              <w:t>26</w:t>
            </w:r>
          </w:p>
        </w:tc>
        <w:tc>
          <w:tcPr>
            <w:tcW w:type="dxa" w:w="2409"/>
          </w:tcPr>
          <w:p>
            <w:r>
              <w:rPr>
                <w:sz w:val="18"/>
              </w:rPr>
              <w:t>Описание данных</w:t>
            </w:r>
          </w:p>
        </w:tc>
        <w:tc>
          <w:tcPr>
            <w:tcW w:type="dxa" w:w="2409"/>
          </w:tcPr>
          <w:p>
            <w:r>
              <w:rPr>
                <w:sz w:val="18"/>
              </w:rPr>
              <w:t>4</w:t>
            </w:r>
          </w:p>
        </w:tc>
        <w:tc>
          <w:tcPr>
            <w:tcW w:type="dxa" w:w="2409"/>
          </w:tcPr>
          <w:p>
            <w:r>
              <w:rPr>
                <w:sz w:val="18"/>
              </w:rPr>
              <w:t>2</w:t>
            </w:r>
          </w:p>
        </w:tc>
      </w:tr>
      <w:tr>
        <w:trPr>
          <w:cantSplit/>
        </w:trPr>
        <w:tc>
          <w:tcPr>
            <w:tcW w:type="dxa" w:w="2409"/>
          </w:tcPr>
          <w:p>
            <w:r>
              <w:rPr>
                <w:sz w:val="18"/>
              </w:rPr>
              <w:t>27</w:t>
            </w:r>
          </w:p>
        </w:tc>
        <w:tc>
          <w:tcPr>
            <w:tcW w:type="dxa" w:w="2409"/>
          </w:tcPr>
          <w:p>
            <w:r>
              <w:rPr>
                <w:sz w:val="18"/>
              </w:rPr>
              <w:t>Сравнение показателей</w:t>
            </w:r>
          </w:p>
        </w:tc>
        <w:tc>
          <w:tcPr>
            <w:tcW w:type="dxa" w:w="2409"/>
          </w:tcPr>
          <w:p>
            <w:r>
              <w:rPr>
                <w:sz w:val="18"/>
              </w:rPr>
              <w:t>4</w:t>
            </w:r>
          </w:p>
        </w:tc>
        <w:tc>
          <w:tcPr>
            <w:tcW w:type="dxa" w:w="2409"/>
          </w:tcPr>
          <w:p>
            <w:r>
              <w:rPr>
                <w:sz w:val="18"/>
              </w:rPr>
              <w:t>2</w:t>
            </w:r>
          </w:p>
        </w:tc>
      </w:tr>
      <w:tr>
        <w:trPr>
          <w:cantSplit/>
        </w:trPr>
        <w:tc>
          <w:tcPr>
            <w:tcW w:type="dxa" w:w="2409"/>
          </w:tcPr>
          <w:p>
            <w:r>
              <w:rPr>
                <w:sz w:val="18"/>
              </w:rPr>
              <w:t>28</w:t>
            </w:r>
          </w:p>
        </w:tc>
        <w:tc>
          <w:tcPr>
            <w:tcW w:type="dxa" w:w="2409"/>
          </w:tcPr>
          <w:p>
            <w:r>
              <w:rPr>
                <w:sz w:val="18"/>
              </w:rPr>
              <w:t>Проблема и решение</w:t>
            </w:r>
          </w:p>
        </w:tc>
        <w:tc>
          <w:tcPr>
            <w:tcW w:type="dxa" w:w="2409"/>
          </w:tcPr>
          <w:p>
            <w:r>
              <w:rPr>
                <w:sz w:val="18"/>
              </w:rPr>
              <w:t>4</w:t>
            </w:r>
          </w:p>
        </w:tc>
        <w:tc>
          <w:tcPr>
            <w:tcW w:type="dxa" w:w="2409"/>
          </w:tcPr>
          <w:p>
            <w:r>
              <w:rPr>
                <w:sz w:val="18"/>
              </w:rPr>
              <w:t>2</w:t>
            </w:r>
          </w:p>
        </w:tc>
      </w:tr>
      <w:tr>
        <w:trPr>
          <w:cantSplit/>
        </w:trPr>
        <w:tc>
          <w:tcPr>
            <w:tcW w:type="dxa" w:w="2409"/>
          </w:tcPr>
          <w:p>
            <w:r>
              <w:rPr>
                <w:sz w:val="18"/>
              </w:rPr>
              <w:t>29</w:t>
            </w:r>
          </w:p>
        </w:tc>
        <w:tc>
          <w:tcPr>
            <w:tcW w:type="dxa" w:w="2409"/>
          </w:tcPr>
          <w:p>
            <w:r>
              <w:rPr>
                <w:sz w:val="18"/>
              </w:rPr>
              <w:t>Аргументированный вывод и редактирование</w:t>
            </w:r>
          </w:p>
        </w:tc>
        <w:tc>
          <w:tcPr>
            <w:tcW w:type="dxa" w:w="2409"/>
          </w:tcPr>
          <w:p>
            <w:r>
              <w:rPr>
                <w:sz w:val="18"/>
              </w:rPr>
              <w:t>4</w:t>
            </w:r>
          </w:p>
        </w:tc>
        <w:tc>
          <w:tcPr>
            <w:tcW w:type="dxa" w:w="2409"/>
          </w:tcPr>
          <w:p>
            <w:r>
              <w:rPr>
                <w:sz w:val="18"/>
              </w:rPr>
              <w:t>2</w:t>
            </w:r>
          </w:p>
        </w:tc>
      </w:tr>
      <w:tr>
        <w:trPr>
          <w:cantSplit/>
        </w:trPr>
        <w:tc>
          <w:tcPr>
            <w:tcW w:type="dxa" w:w="2409"/>
          </w:tcPr>
          <w:p>
            <w:r>
              <w:rPr>
                <w:sz w:val="18"/>
              </w:rPr>
              <w:t>30</w:t>
            </w:r>
          </w:p>
        </w:tc>
        <w:tc>
          <w:tcPr>
            <w:tcW w:type="dxa" w:w="2409"/>
          </w:tcPr>
          <w:p>
            <w:r>
              <w:rPr>
                <w:sz w:val="18"/>
              </w:rPr>
              <w:t>Чтение вслух</w:t>
            </w:r>
          </w:p>
        </w:tc>
        <w:tc>
          <w:tcPr>
            <w:tcW w:type="dxa" w:w="2409"/>
          </w:tcPr>
          <w:p>
            <w:r>
              <w:rPr>
                <w:sz w:val="18"/>
              </w:rPr>
              <w:t>4</w:t>
            </w:r>
          </w:p>
        </w:tc>
        <w:tc>
          <w:tcPr>
            <w:tcW w:type="dxa" w:w="2409"/>
          </w:tcPr>
          <w:p>
            <w:r>
              <w:rPr>
                <w:sz w:val="18"/>
              </w:rPr>
              <w:t>2</w:t>
            </w:r>
          </w:p>
        </w:tc>
      </w:tr>
      <w:tr>
        <w:trPr>
          <w:cantSplit/>
        </w:trPr>
        <w:tc>
          <w:tcPr>
            <w:tcW w:type="dxa" w:w="2409"/>
          </w:tcPr>
          <w:p>
            <w:r>
              <w:rPr>
                <w:sz w:val="18"/>
              </w:rPr>
              <w:t>31</w:t>
            </w:r>
          </w:p>
        </w:tc>
        <w:tc>
          <w:tcPr>
            <w:tcW w:type="dxa" w:w="2409"/>
          </w:tcPr>
          <w:p>
            <w:r>
              <w:rPr>
                <w:sz w:val="18"/>
              </w:rPr>
              <w:t>Вопросы по ситуации</w:t>
            </w:r>
          </w:p>
        </w:tc>
        <w:tc>
          <w:tcPr>
            <w:tcW w:type="dxa" w:w="2409"/>
          </w:tcPr>
          <w:p>
            <w:r>
              <w:rPr>
                <w:sz w:val="18"/>
              </w:rPr>
              <w:t>4</w:t>
            </w:r>
          </w:p>
        </w:tc>
        <w:tc>
          <w:tcPr>
            <w:tcW w:type="dxa" w:w="2409"/>
          </w:tcPr>
          <w:p>
            <w:r>
              <w:rPr>
                <w:sz w:val="18"/>
              </w:rPr>
              <w:t>2</w:t>
            </w:r>
          </w:p>
        </w:tc>
      </w:tr>
      <w:tr>
        <w:trPr>
          <w:cantSplit/>
        </w:trPr>
        <w:tc>
          <w:tcPr>
            <w:tcW w:type="dxa" w:w="2409"/>
          </w:tcPr>
          <w:p>
            <w:r>
              <w:rPr>
                <w:sz w:val="18"/>
              </w:rPr>
              <w:t>32</w:t>
            </w:r>
          </w:p>
        </w:tc>
        <w:tc>
          <w:tcPr>
            <w:tcW w:type="dxa" w:w="2409"/>
          </w:tcPr>
          <w:p>
            <w:r>
              <w:rPr>
                <w:sz w:val="18"/>
              </w:rPr>
              <w:t>Ответы на интервью</w:t>
            </w:r>
          </w:p>
        </w:tc>
        <w:tc>
          <w:tcPr>
            <w:tcW w:type="dxa" w:w="2409"/>
          </w:tcPr>
          <w:p>
            <w:r>
              <w:rPr>
                <w:sz w:val="18"/>
              </w:rPr>
              <w:t>4</w:t>
            </w:r>
          </w:p>
        </w:tc>
        <w:tc>
          <w:tcPr>
            <w:tcW w:type="dxa" w:w="2409"/>
          </w:tcPr>
          <w:p>
            <w:r>
              <w:rPr>
                <w:sz w:val="18"/>
              </w:rPr>
              <w:t>2</w:t>
            </w:r>
          </w:p>
        </w:tc>
      </w:tr>
      <w:tr>
        <w:trPr>
          <w:cantSplit/>
        </w:trPr>
        <w:tc>
          <w:tcPr>
            <w:tcW w:type="dxa" w:w="2409"/>
          </w:tcPr>
          <w:p>
            <w:r>
              <w:rPr>
                <w:sz w:val="18"/>
              </w:rPr>
              <w:t>33</w:t>
            </w:r>
          </w:p>
        </w:tc>
        <w:tc>
          <w:tcPr>
            <w:tcW w:type="dxa" w:w="2409"/>
          </w:tcPr>
          <w:p>
            <w:r>
              <w:rPr>
                <w:sz w:val="18"/>
              </w:rPr>
              <w:t>Сравнение и проектное высказывание</w:t>
            </w:r>
          </w:p>
        </w:tc>
        <w:tc>
          <w:tcPr>
            <w:tcW w:type="dxa" w:w="2409"/>
          </w:tcPr>
          <w:p>
            <w:r>
              <w:rPr>
                <w:sz w:val="18"/>
              </w:rPr>
              <w:t>4</w:t>
            </w:r>
          </w:p>
        </w:tc>
        <w:tc>
          <w:tcPr>
            <w:tcW w:type="dxa" w:w="2409"/>
          </w:tcPr>
          <w:p>
            <w:r>
              <w:rPr>
                <w:sz w:val="18"/>
              </w:rPr>
              <w:t>2</w:t>
            </w:r>
          </w:p>
        </w:tc>
      </w:tr>
      <w:tr>
        <w:trPr>
          <w:cantSplit/>
        </w:trPr>
        <w:tc>
          <w:tcPr>
            <w:tcW w:type="dxa" w:w="2409"/>
          </w:tcPr>
          <w:p>
            <w:r>
              <w:rPr>
                <w:sz w:val="18"/>
              </w:rPr>
              <w:t>34</w:t>
            </w:r>
          </w:p>
        </w:tc>
        <w:tc>
          <w:tcPr>
            <w:tcW w:type="dxa" w:w="2409"/>
          </w:tcPr>
          <w:p>
            <w:r>
              <w:rPr>
                <w:sz w:val="18"/>
              </w:rPr>
              <w:t>Целостный вариант</w:t>
            </w:r>
          </w:p>
        </w:tc>
        <w:tc>
          <w:tcPr>
            <w:tcW w:type="dxa" w:w="2409"/>
          </w:tcPr>
          <w:p>
            <w:r>
              <w:rPr>
                <w:sz w:val="18"/>
              </w:rPr>
              <w:t>4</w:t>
            </w:r>
          </w:p>
        </w:tc>
        <w:tc>
          <w:tcPr>
            <w:tcW w:type="dxa" w:w="2409"/>
          </w:tcPr>
          <w:p>
            <w:r>
              <w:rPr>
                <w:sz w:val="18"/>
              </w:rPr>
              <w:t>2</w:t>
            </w:r>
          </w:p>
        </w:tc>
      </w:tr>
      <w:tr>
        <w:trPr>
          <w:cantSplit/>
        </w:trPr>
        <w:tc>
          <w:tcPr>
            <w:tcW w:type="dxa" w:w="2409"/>
          </w:tcPr>
          <w:p>
            <w:r>
              <w:rPr>
                <w:sz w:val="18"/>
              </w:rPr>
              <w:t>35</w:t>
            </w:r>
          </w:p>
        </w:tc>
        <w:tc>
          <w:tcPr>
            <w:tcW w:type="dxa" w:w="2409"/>
          </w:tcPr>
          <w:p>
            <w:r>
              <w:rPr>
                <w:sz w:val="18"/>
              </w:rPr>
              <w:t>Итоговая комплексная работа</w:t>
            </w:r>
          </w:p>
        </w:tc>
        <w:tc>
          <w:tcPr>
            <w:tcW w:type="dxa" w:w="2409"/>
          </w:tcPr>
          <w:p>
            <w:r>
              <w:rPr>
                <w:sz w:val="18"/>
              </w:rPr>
              <w:t>4</w:t>
            </w:r>
          </w:p>
        </w:tc>
        <w:tc>
          <w:tcPr>
            <w:tcW w:type="dxa" w:w="2409"/>
          </w:tcPr>
          <w:p>
            <w:r>
              <w:rPr>
                <w:sz w:val="18"/>
              </w:rPr>
              <w:t>2</w:t>
            </w:r>
          </w:p>
        </w:tc>
      </w:tr>
      <w:tr>
        <w:trPr>
          <w:cantSplit/>
        </w:trPr>
        <w:tc>
          <w:tcPr>
            <w:tcW w:type="dxa" w:w="2409"/>
          </w:tcPr>
          <w:p>
            <w:r>
              <w:rPr>
                <w:sz w:val="18"/>
              </w:rPr>
              <w:t>36</w:t>
            </w:r>
          </w:p>
        </w:tc>
        <w:tc>
          <w:tcPr>
            <w:tcW w:type="dxa" w:w="2409"/>
          </w:tcPr>
          <w:p>
            <w:r>
              <w:rPr>
                <w:sz w:val="18"/>
              </w:rPr>
              <w:t>Коррекция, повторная проверка и защита решения</w:t>
            </w:r>
          </w:p>
        </w:tc>
        <w:tc>
          <w:tcPr>
            <w:tcW w:type="dxa" w:w="2409"/>
          </w:tcPr>
          <w:p>
            <w:r>
              <w:rPr>
                <w:sz w:val="18"/>
              </w:rPr>
              <w:t>4</w:t>
            </w:r>
          </w:p>
        </w:tc>
        <w:tc>
          <w:tcPr>
            <w:tcW w:type="dxa" w:w="2409"/>
          </w:tcPr>
          <w:p>
            <w:r>
              <w:rPr>
                <w:sz w:val="18"/>
              </w:rPr>
              <w:t>2</w:t>
            </w:r>
          </w:p>
        </w:tc>
      </w:tr>
    </w:tbl>
    <w:p>
      <w:pPr>
        <w:pStyle w:val="Heading1"/>
      </w:pPr>
      <w:r>
        <w:t>7. Формы контроля и итоговой оценки</w:t>
      </w:r>
    </w:p>
    <w:p>
      <w:pPr>
        <w:pStyle w:val="ListBullet"/>
      </w:pPr>
      <w:r>
        <w:t>Входной контроль, неделя 1: письменные/компьютерные задания, а для английского также устный ответ и понимание речи. Фиксируются стартовые умения без проходного порога.</w:t>
      </w:r>
    </w:p>
    <w:p>
      <w:pPr>
        <w:pStyle w:val="ListBullet"/>
      </w:pPr>
      <w:r>
        <w:t>Текущий контроль: на каждой учебной неделе преподаватель проверяет результат практики и выбранное самостоятельное задание.</w:t>
      </w:r>
    </w:p>
    <w:p>
      <w:pPr>
        <w:pStyle w:val="ListBullet"/>
      </w:pPr>
      <w:r>
        <w:t>Тематический контроль: на неделях 6, 12, 18, 24, 29 и 34; работа охватывает результаты завершённого модуля.</w:t>
      </w:r>
    </w:p>
    <w:p>
      <w:pPr>
        <w:pStyle w:val="ListBullet"/>
      </w:pPr>
      <w:r>
        <w:t>Итоговый контроль: неделя 35, комплексная работа; неделя 36, разбор и повторная проверка неосвоенных действий. При техническом сбое назначается дополнительное время без штрафа за сам сбой.</w:t>
      </w:r>
    </w:p>
    <w:tbl>
      <w:tblPr>
        <w:tblStyle w:val="LightShading-Accent1"/>
        <w:tblW w:type="auto" w:w="0"/>
        <w:tblLook w:firstColumn="1" w:firstRow="1" w:lastColumn="0" w:lastRow="0" w:noHBand="0" w:noVBand="1" w:val="04A0"/>
      </w:tblPr>
      <w:tblGrid>
        <w:gridCol w:w="3213"/>
        <w:gridCol w:w="3213"/>
        <w:gridCol w:w="3213"/>
      </w:tblGrid>
      <w:tr>
        <w:trPr>
          <w:tblHeader/>
          <w:cantSplit/>
        </w:trPr>
        <w:tc>
          <w:tcPr>
            <w:tcW w:type="dxa" w:w="3213"/>
          </w:tcPr>
          <w:p>
            <w:r>
              <w:rPr>
                <w:sz w:val="18"/>
              </w:rPr>
              <w:t>Компонент внутренней итоговой оценки</w:t>
            </w:r>
          </w:p>
        </w:tc>
        <w:tc>
          <w:tcPr>
            <w:tcW w:type="dxa" w:w="3213"/>
          </w:tcPr>
          <w:p>
            <w:r>
              <w:rPr>
                <w:sz w:val="18"/>
              </w:rPr>
              <w:t>Доля</w:t>
            </w:r>
          </w:p>
        </w:tc>
        <w:tc>
          <w:tcPr>
            <w:tcW w:type="dxa" w:w="3213"/>
          </w:tcPr>
          <w:p>
            <w:r>
              <w:rPr>
                <w:sz w:val="18"/>
              </w:rPr>
              <w:t>Что проверяется</w:t>
            </w:r>
          </w:p>
        </w:tc>
      </w:tr>
      <w:tr>
        <w:trPr>
          <w:cantSplit/>
        </w:trPr>
        <w:tc>
          <w:tcPr>
            <w:tcW w:type="dxa" w:w="3213"/>
          </w:tcPr>
          <w:p>
            <w:r>
              <w:rPr>
                <w:sz w:val="18"/>
              </w:rPr>
              <w:t>Предметные действия</w:t>
            </w:r>
          </w:p>
        </w:tc>
        <w:tc>
          <w:tcPr>
            <w:tcW w:type="dxa" w:w="3213"/>
          </w:tcPr>
          <w:p>
            <w:r>
              <w:rPr>
                <w:sz w:val="18"/>
              </w:rPr>
              <w:t>60%</w:t>
            </w:r>
          </w:p>
        </w:tc>
        <w:tc>
          <w:tcPr>
            <w:tcW w:type="dxa" w:w="3213"/>
          </w:tcPr>
          <w:p>
            <w:r>
              <w:rPr>
                <w:sz w:val="18"/>
              </w:rPr>
              <w:t>Правильность и полнота выполнения заданий всех шести модулей</w:t>
            </w:r>
          </w:p>
        </w:tc>
      </w:tr>
      <w:tr>
        <w:trPr>
          <w:cantSplit/>
        </w:trPr>
        <w:tc>
          <w:tcPr>
            <w:tcW w:type="dxa" w:w="3213"/>
          </w:tcPr>
          <w:p>
            <w:r>
              <w:rPr>
                <w:sz w:val="18"/>
              </w:rPr>
              <w:t>Объяснение способа</w:t>
            </w:r>
          </w:p>
        </w:tc>
        <w:tc>
          <w:tcPr>
            <w:tcW w:type="dxa" w:w="3213"/>
          </w:tcPr>
          <w:p>
            <w:r>
              <w:rPr>
                <w:sz w:val="18"/>
              </w:rPr>
              <w:t>20%</w:t>
            </w:r>
          </w:p>
        </w:tc>
        <w:tc>
          <w:tcPr>
            <w:tcW w:type="dxa" w:w="3213"/>
          </w:tcPr>
          <w:p>
            <w:r>
              <w:rPr>
                <w:sz w:val="18"/>
              </w:rPr>
              <w:t>Обоснованность переходов, доказательств, примеров или языкового выбора</w:t>
            </w:r>
          </w:p>
        </w:tc>
      </w:tr>
      <w:tr>
        <w:trPr>
          <w:cantSplit/>
        </w:trPr>
        <w:tc>
          <w:tcPr>
            <w:tcW w:type="dxa" w:w="3213"/>
          </w:tcPr>
          <w:p>
            <w:r>
              <w:rPr>
                <w:sz w:val="18"/>
              </w:rPr>
              <w:t>Самопроверка и коррекция</w:t>
            </w:r>
          </w:p>
        </w:tc>
        <w:tc>
          <w:tcPr>
            <w:tcW w:type="dxa" w:w="3213"/>
          </w:tcPr>
          <w:p>
            <w:r>
              <w:rPr>
                <w:sz w:val="18"/>
              </w:rPr>
              <w:t>20%</w:t>
            </w:r>
          </w:p>
        </w:tc>
        <w:tc>
          <w:tcPr>
            <w:tcW w:type="dxa" w:w="3213"/>
          </w:tcPr>
          <w:p>
            <w:r>
              <w:rPr>
                <w:sz w:val="18"/>
              </w:rPr>
              <w:t>Умение обнаружить, объяснить и исправить ошибку в новой ситуации</w:t>
            </w:r>
          </w:p>
        </w:tc>
      </w:tr>
    </w:tbl>
    <w:p>
      <w:r>
        <w:t>Проектный внутренний зачёт: не менее 60% общей суммы и не менее 50% предметной части. Результат ниже порога означает необходимость коррекции и повторной проверки, а не «неспособность к предмету». Проценты относятся к учебной рубрике Классвилля, не переводятся автоматически в баллы или отметку государственного экзамена. Критерии ФИПИ применяются отдельно только к заданиям соответствующего формата и года.</w:t>
      </w:r>
    </w:p>
    <w:p>
      <w:r>
        <w:t>Для повторной попытки выдаются другие данные или другой текст с сохранением проверяемого умения. Преподаватель фиксирует дату, вариант, полученные баллы по критериям и обратную связь. Возражение по оценке сначала разбирается по критериям; спорный случай передаётся назначенному ИП ответственному специалисту. В методическом регламенте принят срок проверки обычной работы до трёх рабочих дней, итоговой до пяти рабочих дней. Исправление ошибки и повторная попытка согласуются с учеником. Возражение по оценке рассматривается в течение пяти рабочих дней; ответ объясняет применение критериев. Эти сроки включаются в нагрузку преподавателя и локальные документы до начала оказания услуг.</w:t>
      </w:r>
    </w:p>
    <w:p>
      <w:pPr>
        <w:pStyle w:val="Heading1"/>
      </w:pPr>
      <w:r>
        <w:t>8. Оценочные материалы по модулям</w:t>
      </w:r>
    </w:p>
    <w:p>
      <w:r>
        <w:t>Для каждого из шести модулей подготовлены два варианта учебной проверки, А и Б, с ответами и тремя критериями. Вариант А используется для первой попытки, Б для повторной после разбора. Это авторские проверки отдельных умений, не официальные КИМ и не полный фонд итоговой аттестации. Публикация ключей делает их пригодными для открытой практики; для закрытого контроля преподаватель готовит новый эквивалентный вариант.</w:t>
      </w:r>
    </w:p>
    <w:p>
      <w:r>
        <w:t>Каждый критерий оценивается от 0 до 2: 2 означает полное и корректное выполнение; 1 означает верный подход при конкретном недочёте, который указан в комментарии; 0 означает отсутствие требуемого действия или неверный подход. Максимум за вариант 6 баллов. Проверка освоена при 5–6 баллах без нулевого критерия; при 3–4 нужна адресная коррекция, при 0–2 повторное объяснение и новый пример. Это внутренняя учебная шкала, а не пересчёт в баллы ОГЭ/ЕГЭ.</w:t>
      </w:r>
    </w:p>
    <w:p>
      <w:r>
        <w:t>Время одной проверки ориентировочно 15–25 минут внутри контактной практики модуля; письменные и устные работы распределяются между учебными частями. Все фактически выданные работы должны укладываться в план часов. Аудирование выполняется без показа скрипта ученику: преподаватель читает авторский текст дважды; это способ проведения задания, а не заявление о готовой аудиотеке.</w:t>
      </w:r>
    </w:p>
    <w:p>
      <w:pPr>
        <w:pStyle w:val="Heading2"/>
      </w:pPr>
      <w:r>
        <w:t>8.1. Языковая система</w:t>
      </w:r>
    </w:p>
    <w:p>
      <w:pPr>
        <w:pStyle w:val="Heading3"/>
      </w:pPr>
      <w:r>
        <w:t>Вариант А</w:t>
      </w:r>
    </w:p>
    <w:p>
      <w:r>
        <w:t>Задание: Read: “A student may remember a worked example yet fail to solve a new problem. Explaining why each step is valid makes gaps in understanding visible.” Paraphrase the main point, explain “valid”, and distinguish remembering from understanding.</w:t>
      </w:r>
    </w:p>
    <w:p>
      <w:r>
        <w:t>Ответ и ориентиры проверки: Explaining reasoning reveals gaps; valid means logically justified/appropriate; remembering steps does not ensure transfer to a different problem.</w:t>
      </w:r>
    </w:p>
    <w:p>
      <w:pPr>
        <w:pStyle w:val="Heading3"/>
      </w:pPr>
      <w:r>
        <w:t>Вариант Б</w:t>
      </w:r>
    </w:p>
    <w:p>
      <w:r>
        <w:t>Задание: Read: “Fast feedback is useful only when the learner acts on it. A score alone may show a problem without explaining how to improve.” Paraphrase, explain “acts on it”, distinguish score from useful feedback.</w:t>
      </w:r>
    </w:p>
    <w:p>
      <w:r>
        <w:t>Ответ и ориентиры проверки: Improvement requires using feedback; acts on it means takes corrective action; a score reports outcome, useful feedback guides improvement.</w:t>
      </w:r>
    </w:p>
    <w:p>
      <w:r>
        <w:t>Критерии для обоих вариантов, по 0–2 балла каждый:</w:t>
      </w:r>
    </w:p>
    <w:p>
      <w:pPr>
        <w:pStyle w:val="ListBullet"/>
      </w:pPr>
      <w:r>
        <w:t>Точная переформулировка</w:t>
      </w:r>
    </w:p>
    <w:p>
      <w:pPr>
        <w:pStyle w:val="ListBullet"/>
      </w:pPr>
      <w:r>
        <w:t>Слово или выражение объяснено в контексте</w:t>
      </w:r>
    </w:p>
    <w:p>
      <w:pPr>
        <w:pStyle w:val="ListBullet"/>
      </w:pPr>
      <w:r>
        <w:t>Содержательное различие</w:t>
      </w:r>
    </w:p>
    <w:p>
      <w:pPr>
        <w:pStyle w:val="Heading2"/>
      </w:pPr>
      <w:r>
        <w:t>8.2. Лексика и грамматика</w:t>
      </w:r>
    </w:p>
    <w:p>
      <w:pPr>
        <w:pStyle w:val="Heading3"/>
      </w:pPr>
      <w:r>
        <w:t>Вариант А</w:t>
      </w:r>
    </w:p>
    <w:p>
      <w:r>
        <w:t>Задание: Complete and explain: If I ___ (know) the answer, I would tell you. By the time we arrived, the lesson ___ (start). She is interested in ___ (learn) languages.</w:t>
      </w:r>
    </w:p>
    <w:p>
      <w:r>
        <w:t>Ответ и ориентиры проверки: knew: second conditional; had started: earlier past action; learning: gerund after preposition.</w:t>
      </w:r>
    </w:p>
    <w:p>
      <w:pPr>
        <w:pStyle w:val="Heading3"/>
      </w:pPr>
      <w:r>
        <w:t>Вариант Б</w:t>
      </w:r>
    </w:p>
    <w:p>
      <w:r>
        <w:t>Задание: Complete and explain: If she ___ (have) more time, she would join us. When I called, he ___ already ___ (leave). They are good at ___ (solve) problems.</w:t>
      </w:r>
    </w:p>
    <w:p>
      <w:r>
        <w:t>Ответ и ориентиры проверки: had; had already left; solving.</w:t>
      </w:r>
    </w:p>
    <w:p>
      <w:r>
        <w:t>Критерии для обоих вариантов, по 0–2 балла каждый:</w:t>
      </w:r>
    </w:p>
    <w:p>
      <w:pPr>
        <w:pStyle w:val="ListBullet"/>
      </w:pPr>
      <w:r>
        <w:t>Условная конструкция</w:t>
      </w:r>
    </w:p>
    <w:p>
      <w:pPr>
        <w:pStyle w:val="ListBullet"/>
      </w:pPr>
      <w:r>
        <w:t>Последовательность событий в прошлом</w:t>
      </w:r>
    </w:p>
    <w:p>
      <w:pPr>
        <w:pStyle w:val="ListBullet"/>
      </w:pPr>
      <w:r>
        <w:t>Форма после предлога</w:t>
      </w:r>
    </w:p>
    <w:p>
      <w:pPr>
        <w:pStyle w:val="Heading2"/>
      </w:pPr>
      <w:r>
        <w:t>8.3. Чтение и смысл</w:t>
      </w:r>
    </w:p>
    <w:p>
      <w:pPr>
        <w:pStyle w:val="Heading3"/>
      </w:pPr>
      <w:r>
        <w:t>Вариант А</w:t>
      </w:r>
    </w:p>
    <w:p>
      <w:r>
        <w:t>Задание: Read: “The club introduced online discussions to include students who lived far away. Attendance rose, but some participants found the conversations less focused. The organisers added a short agenda to each meeting.” Explain aim, mixed result and response; support each answer from the text.</w:t>
      </w:r>
    </w:p>
    <w:p>
      <w:r>
        <w:t>Ответ и ориентиры проверки: Aim: remote access; result: higher attendance but less focus; response: an agenda. Do not infer that online meetings were cancelled.</w:t>
      </w:r>
    </w:p>
    <w:p>
      <w:pPr>
        <w:pStyle w:val="Heading3"/>
      </w:pPr>
      <w:r>
        <w:t>Вариант Б</w:t>
      </w:r>
    </w:p>
    <w:p>
      <w:r>
        <w:t>Задание: Read: “The library extended its opening hours during exams. More students visited, while staff reported increased noise. Quiet areas were then separated from group-work tables.” Explain aim, mixed result and response.</w:t>
      </w:r>
    </w:p>
    <w:p>
      <w:r>
        <w:t>Ответ и ориентиры проверки: Aim: more access during exams (inferred from context); more visits but noise; separate quiet and collaborative areas. Mark contextual inference appropriately.</w:t>
      </w:r>
    </w:p>
    <w:p>
      <w:r>
        <w:t>Критерии для обоих вариантов, по 0–2 балла каждый:</w:t>
      </w:r>
    </w:p>
    <w:p>
      <w:pPr>
        <w:pStyle w:val="ListBullet"/>
      </w:pPr>
      <w:r>
        <w:t>Цель с опорой на текст</w:t>
      </w:r>
    </w:p>
    <w:p>
      <w:pPr>
        <w:pStyle w:val="ListBullet"/>
      </w:pPr>
      <w:r>
        <w:t>Обе стороны результата</w:t>
      </w:r>
    </w:p>
    <w:p>
      <w:pPr>
        <w:pStyle w:val="ListBullet"/>
      </w:pPr>
      <w:r>
        <w:t>Точная мера и различение вывода/факта</w:t>
      </w:r>
    </w:p>
    <w:p>
      <w:pPr>
        <w:pStyle w:val="Heading2"/>
      </w:pPr>
      <w:r>
        <w:t>8.4. Аудирование</w:t>
      </w:r>
    </w:p>
    <w:p>
      <w:pPr>
        <w:pStyle w:val="Heading3"/>
      </w:pPr>
      <w:r>
        <w:t>Вариант А</w:t>
      </w:r>
    </w:p>
    <w:p>
      <w:r>
        <w:t>Задание: Скрипт для двух чтений: “We first planned a weekend workshop, but most students preferred weekday evenings. The final course runs on Wednesdays at six. The main aim is to practise explaining solutions, not to cover new theory. Participants should complete a short task beforehand.” Questions: What changed? What is the main aim? What is required before the meeting?</w:t>
      </w:r>
    </w:p>
    <w:p>
      <w:r>
        <w:t>Ответ и ориентиры проверки: Weekend to Wednesday evening; explaining solutions; complete a short task. Read twice without showing the script.</w:t>
      </w:r>
    </w:p>
    <w:p>
      <w:pPr>
        <w:pStyle w:val="Heading3"/>
      </w:pPr>
      <w:r>
        <w:t>Вариант Б</w:t>
      </w:r>
    </w:p>
    <w:p>
      <w:r>
        <w:t>Задание: Скрипт: “The science club was going to meet in a classroom. We have moved it online because several members travel after school. Meetings are still on Mondays. Please read the experiment notes in advance; you do not have to prepare a presentation.” Questions: What changed and why? What stayed the same? What preparation is required?</w:t>
      </w:r>
    </w:p>
    <w:p>
      <w:r>
        <w:t>Ответ и ориентиры проверки: Venue to online because of travel; Mondays; read notes, no presentation required.</w:t>
      </w:r>
    </w:p>
    <w:p>
      <w:r>
        <w:t>Критерии для обоих вариантов, по 0–2 балла каждый:</w:t>
      </w:r>
    </w:p>
    <w:p>
      <w:pPr>
        <w:pStyle w:val="ListBullet"/>
      </w:pPr>
      <w:r>
        <w:t>Изменение и причина/исходный план</w:t>
      </w:r>
    </w:p>
    <w:p>
      <w:pPr>
        <w:pStyle w:val="ListBullet"/>
      </w:pPr>
      <w:r>
        <w:t>Главная цель или неизменившееся условие</w:t>
      </w:r>
    </w:p>
    <w:p>
      <w:pPr>
        <w:pStyle w:val="ListBullet"/>
      </w:pPr>
      <w:r>
        <w:t>Подготовка с учётом отрицания</w:t>
      </w:r>
    </w:p>
    <w:p>
      <w:pPr>
        <w:pStyle w:val="Heading2"/>
      </w:pPr>
      <w:r>
        <w:t>8.5. Письмо</w:t>
      </w:r>
    </w:p>
    <w:p>
      <w:pPr>
        <w:pStyle w:val="Heading3"/>
      </w:pPr>
      <w:r>
        <w:t>Вариант А</w:t>
      </w:r>
    </w:p>
    <w:p>
      <w:r>
        <w:t>Задание: Write a 140–170-word practice report on a fictional poll of 100 students: 50 prefer teacher feedback, 30 peer feedback, 20 self-checking. Make one numerical comparison, suggest why the leading option is popular, identify a limitation of the data and conclude. This is not a full official exam task.</w:t>
      </w:r>
    </w:p>
    <w:p>
      <w:r>
        <w:t>Ответ и ориентиры проверки: Teacher feedback leads; 20 percentage points above peer feedback. Possible reason: subject expertise. Limitation: a small group/preferences do not prove effectiveness. Any defensible interpretation with exact data accepted.</w:t>
      </w:r>
    </w:p>
    <w:p>
      <w:pPr>
        <w:pStyle w:val="Heading3"/>
      </w:pPr>
      <w:r>
        <w:t>Вариант Б</w:t>
      </w:r>
    </w:p>
    <w:p>
      <w:r>
        <w:t>Задание: Write 140–170 words on a fictional poll: 45 prefer short daily practice, 35 two longer sessions, 20 one weekly session. Same elements: comparison, explanation, limitation, conclusion.</w:t>
      </w:r>
    </w:p>
    <w:p>
      <w:r>
        <w:t>Ответ и ориентиры проверки: Leading option exceeds second by 10 percentage points. Possible reason: routine. Preferences in a fictional small sample cannot establish learning outcomes.</w:t>
      </w:r>
    </w:p>
    <w:p>
      <w:r>
        <w:t>Критерии для обоих вариантов, по 0–2 балла каждый:</w:t>
      </w:r>
    </w:p>
    <w:p>
      <w:pPr>
        <w:pStyle w:val="ListBullet"/>
      </w:pPr>
      <w:r>
        <w:t>Точность данных и сравнения</w:t>
      </w:r>
    </w:p>
    <w:p>
      <w:pPr>
        <w:pStyle w:val="ListBullet"/>
      </w:pPr>
      <w:r>
        <w:t>Обоснованное объяснение и ограничение</w:t>
      </w:r>
    </w:p>
    <w:p>
      <w:pPr>
        <w:pStyle w:val="ListBullet"/>
      </w:pPr>
      <w:r>
        <w:t>Связный грамотный текст нужного объёма</w:t>
      </w:r>
    </w:p>
    <w:p>
      <w:pPr>
        <w:pStyle w:val="Heading2"/>
      </w:pPr>
      <w:r>
        <w:t>8.6. Говорение и комплексная практика</w:t>
      </w:r>
    </w:p>
    <w:p>
      <w:pPr>
        <w:pStyle w:val="Heading3"/>
      </w:pPr>
      <w:r>
        <w:t>Вариант А</w:t>
      </w:r>
    </w:p>
    <w:p>
      <w:r>
        <w:t>Задание: Compare two described situations: A student explains a diagram to a group; another studies the same diagram alone. Speak for 2 minutes: one similarity, two differences, your choice for a difficult topic and a reason.</w:t>
      </w:r>
    </w:p>
    <w:p>
      <w:r>
        <w:t>Ответ и ориентиры проверки: Both study the same material; interaction/feedback and pace differ. Either choice accepted with a reason tied to a difficult topic.</w:t>
      </w:r>
    </w:p>
    <w:p>
      <w:pPr>
        <w:pStyle w:val="Heading3"/>
      </w:pPr>
      <w:r>
        <w:t>Вариант Б</w:t>
      </w:r>
    </w:p>
    <w:p>
      <w:r>
        <w:t>Задание: Compare: one student takes notes during a live online lesson; another reviews a saved text explanation. Speak for 2 minutes with similarity, two differences, choice and reason.</w:t>
      </w:r>
    </w:p>
    <w:p>
      <w:r>
        <w:t>Ответ и ориентиры проверки: Both can learn the topic; immediate questions versus flexible review, real-time pace versus self-paced reading. Avoid assuming a video recording exists.</w:t>
      </w:r>
    </w:p>
    <w:p>
      <w:r>
        <w:t>Критерии для обоих вариантов, по 0–2 балла каждый:</w:t>
      </w:r>
    </w:p>
    <w:p>
      <w:pPr>
        <w:pStyle w:val="ListBullet"/>
      </w:pPr>
      <w:r>
        <w:t>Полное сравнение без списка несвязанных фактов</w:t>
      </w:r>
    </w:p>
    <w:p>
      <w:pPr>
        <w:pStyle w:val="ListBullet"/>
      </w:pPr>
      <w:r>
        <w:t>Выбор и обоснование</w:t>
      </w:r>
    </w:p>
    <w:p>
      <w:pPr>
        <w:pStyle w:val="ListBullet"/>
      </w:pPr>
      <w:r>
        <w:t>Связность и понятная речь</w:t>
      </w:r>
    </w:p>
    <w:p>
      <w:pPr>
        <w:pStyle w:val="Heading1"/>
      </w:pPr>
      <w:r>
        <w:t>9. Методические материалы</w:t>
      </w:r>
    </w:p>
    <w:p>
      <w:r>
        <w:t>Структура контактной части 45 минут: 5 минут на повтор, 10 на объяснение, 15 на управляемую практику, 10 на самостоятельное применение, 5 на вывод и следующий шаг. В контрольных занятиях структура меняется по цели. Работу на экране чередуют с работой на бумаге и устным обсуждением.</w:t>
      </w:r>
    </w:p>
    <w:p>
      <w:r>
        <w:t>Поддержка: опорная схема, разобранный пример с пропущенным шагом, затем независимое решение. Усложнение: альтернативный способ, контрпример, перенос в новый контекст. Готовый ответ без объяснения не используется как единственное доказательство освоения.</w:t>
      </w:r>
    </w:p>
    <w:p>
      <w:r>
        <w:t>Карточка ошибки: дата; тема; мой исходный ответ; где нарушена логика; корректный шаг; новое упражнение; результат проверки через 7–14 дней. Карточка заполняется учеником и проверяется преподавателем в задании или комментарии; отдельный автоматический сервис карточек не заявляется.</w:t>
      </w:r>
    </w:p>
    <w:p>
      <w:r>
        <w:t>Обратная связь родителю: что ребёнок уже выполняет самостоятельно; на какой теме нужна помощь; какое действие запланировано до следующей проверки. Другие ученики, их оценки и работы родителю не раскрываются. Автоматическая рассылка отчётов не заявляется.</w:t>
      </w:r>
    </w:p>
    <w:p>
      <w:pPr>
        <w:pStyle w:val="Heading1"/>
      </w:pPr>
      <w:r>
        <w:t>10. Организационно-педагогические условия</w:t>
      </w:r>
    </w:p>
    <w:p>
      <w:r>
        <w:t>Кадровое обеспечение: преподаватель с подготовкой, соответствующей предмету и применимым требованиям к педагогической деятельности. До запуска ИП определяет конкретных исполнителей, проверяет документы об образовании и допуске к работе, закрепляет нагрузку и ответственность. ФИО, квалификация и документы преподавателей в этот проект ещё не внесены. Автоматическая проверка не заменяет педагогическую оценку развёрнутых ответов.</w:t>
      </w:r>
    </w:p>
    <w:p>
      <w:r>
        <w:t>Технические средства ученика: компьютер или ноутбук с актуальным браузером, устойчивым доступом в интернет, средствами воспроизведения звука и микрофоном; для практики информатики среда Python 3 и офисный пакет. Для рукописных решений достаточно бумаги и средства загрузки фотографии. Телефон может использоваться для просмотра и передачи работы, но не заменяет компьютер в практических заданиях по информатике.</w:t>
      </w:r>
    </w:p>
    <w:p>
      <w:r>
        <w:t>Среда Классвилля: вход в кабинет, расписание, занятия с видеосвязью, общая доска, выдача и сдача заданий, прикрепление материалов, проверка и результаты. Доска занятия сохраняется на сервере; отдельные личные доски остаются локальными. Запись видеоурока не заявляется как обязательная или уже действующая функция. Контроль выполнения программы требует наполнения курса всеми материалами, а не только наличия этих инструментов.</w:t>
      </w:r>
    </w:p>
    <w:p>
      <w:r>
        <w:t>При техническом сбое: ученик сообщает преподавателю по согласованному каналу, сохраняет выполненную часть; преподаватель проверяет доступ и назначает перенос либо эквивалентную работу. Сбой сам по себе не снижает предметную оценку. Для обращения в школу используется телефон +7 993 447-31-10. Круглосуточная поддержка не заявляется. Сроки ответа и часы работы устанавливаются до запуска и доводятся до семьи.</w:t>
      </w:r>
    </w:p>
    <w:p>
      <w:r>
        <w:t>Доступность: текстовые инструкции, читаемый размер шрифта, материалы в доступном текстовом формате, возможность устного уточнения и дополнительного времени по согласованию. Адаптированная программа и специальные условия разрабатываются отдельно при наличии потребности; готовность таких условий этим проектом не подтверждается.</w:t>
      </w:r>
    </w:p>
    <w:p>
      <w:pPr>
        <w:pStyle w:val="Heading1"/>
      </w:pPr>
      <w:r>
        <w:t>11. Учебно-информационное обеспечение</w:t>
      </w:r>
    </w:p>
    <w:p>
      <w:pPr>
        <w:pStyle w:val="ListBullet"/>
      </w:pPr>
      <w:r>
        <w:t>Авторские конспекты, задания, рубрики и схемы Классвилля; перед использованием проверяются преподавателем.</w:t>
      </w:r>
    </w:p>
    <w:p>
      <w:pPr>
        <w:pStyle w:val="ListBullet"/>
      </w:pPr>
      <w:r>
        <w:t>Открытые демоверсии, спецификации, кодификаторы и методические рекомендации ФИПИ соответствующего экзамена и года.</w:t>
      </w:r>
    </w:p>
    <w:p>
      <w:pPr>
        <w:pStyle w:val="ListBullet"/>
      </w:pPr>
      <w:r>
        <w:t>Для языковых предметов: нормативные словари, собственные или законно используемые тексты и аудио.</w:t>
      </w:r>
    </w:p>
    <w:p>
      <w:pPr>
        <w:pStyle w:val="ListBullet"/>
      </w:pPr>
      <w:r>
        <w:t>Для истории и обществознания: проверяемые исторические источники, Конституция и актуальные официальные нормативные тексты.</w:t>
      </w:r>
    </w:p>
    <w:p>
      <w:pPr>
        <w:pStyle w:val="ListBullet"/>
      </w:pPr>
      <w:r>
        <w:t>Для информатики: документация Python 3 и используемого офисного пакета; учебные данные без сведений о реальных детях.</w:t>
      </w:r>
    </w:p>
    <w:p>
      <w:r>
        <w:t>На 27.09.2026 документы ФИПИ для экзаменов 2027 года опубликованы как проекты. До утверждения программы выполняется построчное сопоставление результатов и тем с окончательным кодификатором; изменения фиксируются новой версией документа. Полное соответствие окончательной модели 2027 года сейчас не заявляется. Номера заданий и максимальные экзаменационные баллы намеренно не закреплены в проекте.</w:t>
      </w:r>
    </w:p>
    <w:p>
      <w:pPr>
        <w:pStyle w:val="Heading1"/>
      </w:pPr>
      <w:r>
        <w:t>12. Утверждение и контроль версии</w:t>
      </w:r>
    </w:p>
    <w:p>
      <w:pPr>
        <w:pStyle w:val="ListBullet"/>
      </w:pPr>
      <w:r>
        <w:t>В заявлении и локальных документах использовать выбранные решения: дополнительное образование детей и взрослых; заочная форма; исключительно электронное обучение и дистанционные образовательные технологии.</w:t>
      </w:r>
    </w:p>
    <w:p>
      <w:pPr>
        <w:pStyle w:val="ListBullet"/>
      </w:pPr>
      <w:r>
        <w:t>Проверить покрытие кодификатора и корректность содержания предметным преподавателем.</w:t>
      </w:r>
    </w:p>
    <w:p>
      <w:pPr>
        <w:pStyle w:val="ListBullet"/>
      </w:pPr>
      <w:r>
        <w:t>Дополнить модульные проверки заданиями по остальным результатам, закрытыми итоговыми вариантами и всеми учебными материалами. Авторские скрипты аудирования уже включены, записи и прочие ресурсы готовятся по необходимости.</w:t>
      </w:r>
    </w:p>
    <w:p>
      <w:pPr>
        <w:pStyle w:val="ListBullet"/>
      </w:pPr>
      <w:r>
        <w:t>Указать разработчика/рецензента и преподавателей с подтверждённой квалификацией.</w:t>
      </w:r>
    </w:p>
    <w:p>
      <w:pPr>
        <w:pStyle w:val="ListBullet"/>
      </w:pPr>
      <w:r>
        <w:t>Утвердить календарные даты, размер группы и режим перерывов; включить выбранные сроки проверки в локальный регламент и обеспечить их исполнение.</w:t>
      </w:r>
    </w:p>
    <w:p>
      <w:pPr>
        <w:pStyle w:val="ListBullet"/>
      </w:pPr>
      <w:r>
        <w:t>Оформить утверждение ИП с реальной датой и номером распорядительного документа.</w:t>
      </w:r>
    </w:p>
    <w:p>
      <w:pPr>
        <w:pStyle w:val="ListBullet"/>
      </w:pPr>
      <w:r>
        <w:t>Разместить утверждённую редакцию и её приложения по стабильному адресу; проверить доступ сотрудника лицензирующего органа.</w:t>
      </w:r>
    </w:p>
    <w:p>
      <w:r>
        <w:t>Настоящий проект не заполняет за владельца реквизиты несуществующего приказа, сведения о лицензии, составе преподавателей или фактически отсутствующих ресурсах. Вопросы применения требований к конкретному ИП согласуются с Ростобрнадзором. До выполнения перечисленных действий документ не следует представлять как утверждённую реализуемую программу.</w:t>
      </w:r>
    </w:p>
    <w:p>
      <w:pPr>
        <w:pStyle w:val="Heading1"/>
      </w:pPr>
      <w:r>
        <w:t>Приложение. Рабочие формы преподавателя</w:t>
      </w:r>
    </w:p>
    <w:p>
      <w:r>
        <w:t>Формы ниже используются вручную: в задании, комментарии или отдельном файле курса. Поля заполняются по фактической работе ученика. Примеры заполнения не являются результатами реальных учеников. Автоматические отчёты, напоминания и расчёт этих рубрик в кабинете не заявляются.</w:t>
      </w:r>
    </w:p>
    <w:p>
      <w:pPr>
        <w:pStyle w:val="Heading1"/>
      </w:pPr>
      <w:r>
        <w:t>Карта стартовой диагностики</w:t>
      </w:r>
    </w:p>
    <w:tbl>
      <w:tblPr>
        <w:tblStyle w:val="LightShading-Accent1"/>
        <w:tblW w:type="auto" w:w="0"/>
        <w:tblLook w:firstColumn="1" w:firstRow="1" w:lastColumn="0" w:lastRow="0" w:noHBand="0" w:noVBand="1" w:val="04A0"/>
      </w:tblPr>
      <w:tblGrid>
        <w:gridCol w:w="4819"/>
        <w:gridCol w:w="4819"/>
      </w:tblGrid>
      <w:tr>
        <w:trPr>
          <w:tblHeader/>
          <w:cantSplit/>
        </w:trPr>
        <w:tc>
          <w:tcPr>
            <w:tcW w:type="dxa" w:w="4819"/>
          </w:tcPr>
          <w:p>
            <w:r>
              <w:rPr>
                <w:sz w:val="18"/>
              </w:rPr>
              <w:t>Что фиксируем</w:t>
            </w:r>
          </w:p>
        </w:tc>
        <w:tc>
          <w:tcPr>
            <w:tcW w:type="dxa" w:w="4819"/>
          </w:tcPr>
          <w:p>
            <w:r>
              <w:rPr>
                <w:sz w:val="18"/>
              </w:rPr>
              <w:t>Как заполняем</w:t>
            </w:r>
          </w:p>
        </w:tc>
      </w:tr>
      <w:tr>
        <w:trPr>
          <w:cantSplit/>
        </w:trPr>
        <w:tc>
          <w:tcPr>
            <w:tcW w:type="dxa" w:w="4819"/>
          </w:tcPr>
          <w:p>
            <w:r>
              <w:rPr>
                <w:sz w:val="18"/>
              </w:rPr>
              <w:t>Ученик, предмет, дата</w:t>
            </w:r>
          </w:p>
        </w:tc>
        <w:tc>
          <w:tcPr>
            <w:tcW w:type="dxa" w:w="4819"/>
          </w:tcPr>
          <w:p>
            <w:r>
              <w:rPr>
                <w:sz w:val="18"/>
              </w:rPr>
              <w:t>Идентификатор ученика в кабинете, название курса, фактическая дата</w:t>
            </w:r>
          </w:p>
        </w:tc>
      </w:tr>
      <w:tr>
        <w:trPr>
          <w:cantSplit/>
        </w:trPr>
        <w:tc>
          <w:tcPr>
            <w:tcW w:type="dxa" w:w="4819"/>
          </w:tcPr>
          <w:p>
            <w:r>
              <w:rPr>
                <w:sz w:val="18"/>
              </w:rPr>
              <w:t>Умение и задание</w:t>
            </w:r>
          </w:p>
        </w:tc>
        <w:tc>
          <w:tcPr>
            <w:tcW w:type="dxa" w:w="4819"/>
          </w:tcPr>
          <w:p>
            <w:r>
              <w:rPr>
                <w:sz w:val="18"/>
              </w:rPr>
              <w:t>Конкретное действие и версия задания; не только общее название темы</w:t>
            </w:r>
          </w:p>
        </w:tc>
      </w:tr>
      <w:tr>
        <w:trPr>
          <w:cantSplit/>
        </w:trPr>
        <w:tc>
          <w:tcPr>
            <w:tcW w:type="dxa" w:w="4819"/>
          </w:tcPr>
          <w:p>
            <w:r>
              <w:rPr>
                <w:sz w:val="18"/>
              </w:rPr>
              <w:t>Результат</w:t>
            </w:r>
          </w:p>
        </w:tc>
        <w:tc>
          <w:tcPr>
            <w:tcW w:type="dxa" w:w="4819"/>
          </w:tcPr>
          <w:p>
            <w:r>
              <w:rPr>
                <w:sz w:val="18"/>
              </w:rPr>
              <w:t>Что выполнено самостоятельно, где понадобилась подсказка; баллы по критериям</w:t>
            </w:r>
          </w:p>
        </w:tc>
      </w:tr>
      <w:tr>
        <w:trPr>
          <w:cantSplit/>
        </w:trPr>
        <w:tc>
          <w:tcPr>
            <w:tcW w:type="dxa" w:w="4819"/>
          </w:tcPr>
          <w:p>
            <w:r>
              <w:rPr>
                <w:sz w:val="18"/>
              </w:rPr>
              <w:t>Причина затруднения</w:t>
            </w:r>
          </w:p>
        </w:tc>
        <w:tc>
          <w:tcPr>
            <w:tcW w:type="dxa" w:w="4819"/>
          </w:tcPr>
          <w:p>
            <w:r>
              <w:rPr>
                <w:sz w:val="18"/>
              </w:rPr>
              <w:t>Недостаток знания / неверный выбор способа / ошибка выполнения / пропуск проверки. Это учебное наблюдение, не психологический диагноз</w:t>
            </w:r>
          </w:p>
        </w:tc>
      </w:tr>
      <w:tr>
        <w:trPr>
          <w:cantSplit/>
        </w:trPr>
        <w:tc>
          <w:tcPr>
            <w:tcW w:type="dxa" w:w="4819"/>
          </w:tcPr>
          <w:p>
            <w:r>
              <w:rPr>
                <w:sz w:val="18"/>
              </w:rPr>
              <w:t>Ближайший шаг</w:t>
            </w:r>
          </w:p>
        </w:tc>
        <w:tc>
          <w:tcPr>
            <w:tcW w:type="dxa" w:w="4819"/>
          </w:tcPr>
          <w:p>
            <w:r>
              <w:rPr>
                <w:sz w:val="18"/>
              </w:rPr>
              <w:t>Одно посильное действие, срок и способ проверки</w:t>
            </w:r>
          </w:p>
        </w:tc>
      </w:tr>
      <w:tr>
        <w:trPr>
          <w:cantSplit/>
        </w:trPr>
        <w:tc>
          <w:tcPr>
            <w:tcW w:type="dxa" w:w="4819"/>
          </w:tcPr>
          <w:p>
            <w:r>
              <w:rPr>
                <w:sz w:val="18"/>
              </w:rPr>
              <w:t>Нагрузка</w:t>
            </w:r>
          </w:p>
        </w:tc>
        <w:tc>
          <w:tcPr>
            <w:tcW w:type="dxa" w:w="4819"/>
          </w:tcPr>
          <w:p>
            <w:r>
              <w:rPr>
                <w:sz w:val="18"/>
              </w:rPr>
              <w:t>Общее время по выбранным предметам; согласованное с семьёй распределение</w:t>
            </w:r>
          </w:p>
        </w:tc>
      </w:tr>
    </w:tbl>
    <w:p>
      <w:pPr>
        <w:pStyle w:val="Heading1"/>
      </w:pPr>
      <w:r>
        <w:t>Карточка исправления ошибки</w:t>
      </w:r>
    </w:p>
    <w:tbl>
      <w:tblPr>
        <w:tblStyle w:val="LightShading-Accent1"/>
        <w:tblW w:type="auto" w:w="0"/>
        <w:tblLook w:firstColumn="1" w:firstRow="1" w:lastColumn="0" w:lastRow="0" w:noHBand="0" w:noVBand="1" w:val="04A0"/>
      </w:tblPr>
      <w:tblGrid>
        <w:gridCol w:w="4819"/>
        <w:gridCol w:w="4819"/>
      </w:tblGrid>
      <w:tr>
        <w:trPr>
          <w:tblHeader/>
          <w:cantSplit/>
        </w:trPr>
        <w:tc>
          <w:tcPr>
            <w:tcW w:type="dxa" w:w="4819"/>
          </w:tcPr>
          <w:p>
            <w:r>
              <w:rPr>
                <w:sz w:val="18"/>
              </w:rPr>
              <w:t>Поле</w:t>
            </w:r>
          </w:p>
        </w:tc>
        <w:tc>
          <w:tcPr>
            <w:tcW w:type="dxa" w:w="4819"/>
          </w:tcPr>
          <w:p>
            <w:r>
              <w:rPr>
                <w:sz w:val="18"/>
              </w:rPr>
              <w:t>Инструкция ученику</w:t>
            </w:r>
          </w:p>
        </w:tc>
      </w:tr>
      <w:tr>
        <w:trPr>
          <w:cantSplit/>
        </w:trPr>
        <w:tc>
          <w:tcPr>
            <w:tcW w:type="dxa" w:w="4819"/>
          </w:tcPr>
          <w:p>
            <w:r>
              <w:rPr>
                <w:sz w:val="18"/>
              </w:rPr>
              <w:t>Исходный ответ</w:t>
            </w:r>
          </w:p>
        </w:tc>
        <w:tc>
          <w:tcPr>
            <w:tcW w:type="dxa" w:w="4819"/>
          </w:tcPr>
          <w:p>
            <w:r>
              <w:rPr>
                <w:sz w:val="18"/>
              </w:rPr>
              <w:t>Сохрани свой ответ или фотографию решения</w:t>
            </w:r>
          </w:p>
        </w:tc>
      </w:tr>
      <w:tr>
        <w:trPr>
          <w:cantSplit/>
        </w:trPr>
        <w:tc>
          <w:tcPr>
            <w:tcW w:type="dxa" w:w="4819"/>
          </w:tcPr>
          <w:p>
            <w:r>
              <w:rPr>
                <w:sz w:val="18"/>
              </w:rPr>
              <w:t>Место ошибки</w:t>
            </w:r>
          </w:p>
        </w:tc>
        <w:tc>
          <w:tcPr>
            <w:tcW w:type="dxa" w:w="4819"/>
          </w:tcPr>
          <w:p>
            <w:r>
              <w:rPr>
                <w:sz w:val="18"/>
              </w:rPr>
              <w:t>Укажи конкретный шаг, слово, факт или проверку, которую пропустил</w:t>
            </w:r>
          </w:p>
        </w:tc>
      </w:tr>
      <w:tr>
        <w:trPr>
          <w:cantSplit/>
        </w:trPr>
        <w:tc>
          <w:tcPr>
            <w:tcW w:type="dxa" w:w="4819"/>
          </w:tcPr>
          <w:p>
            <w:r>
              <w:rPr>
                <w:sz w:val="18"/>
              </w:rPr>
              <w:t>Причина</w:t>
            </w:r>
          </w:p>
        </w:tc>
        <w:tc>
          <w:tcPr>
            <w:tcW w:type="dxa" w:w="4819"/>
          </w:tcPr>
          <w:p>
            <w:r>
              <w:rPr>
                <w:sz w:val="18"/>
              </w:rPr>
              <w:t>Объясни, почему выбрал этот шаг; если пока не понял, так и напиши</w:t>
            </w:r>
          </w:p>
        </w:tc>
      </w:tr>
      <w:tr>
        <w:trPr>
          <w:cantSplit/>
        </w:trPr>
        <w:tc>
          <w:tcPr>
            <w:tcW w:type="dxa" w:w="4819"/>
          </w:tcPr>
          <w:p>
            <w:r>
              <w:rPr>
                <w:sz w:val="18"/>
              </w:rPr>
              <w:t>Исправление</w:t>
            </w:r>
          </w:p>
        </w:tc>
        <w:tc>
          <w:tcPr>
            <w:tcW w:type="dxa" w:w="4819"/>
          </w:tcPr>
          <w:p>
            <w:r>
              <w:rPr>
                <w:sz w:val="18"/>
              </w:rPr>
              <w:t>Запиши правильный шаг и его основание</w:t>
            </w:r>
          </w:p>
        </w:tc>
      </w:tr>
      <w:tr>
        <w:trPr>
          <w:cantSplit/>
        </w:trPr>
        <w:tc>
          <w:tcPr>
            <w:tcW w:type="dxa" w:w="4819"/>
          </w:tcPr>
          <w:p>
            <w:r>
              <w:rPr>
                <w:sz w:val="18"/>
              </w:rPr>
              <w:t>Новый пример</w:t>
            </w:r>
          </w:p>
        </w:tc>
        <w:tc>
          <w:tcPr>
            <w:tcW w:type="dxa" w:w="4819"/>
          </w:tcPr>
          <w:p>
            <w:r>
              <w:rPr>
                <w:sz w:val="18"/>
              </w:rPr>
              <w:t>Выполни другой вариант без копирования предыдущего ответа</w:t>
            </w:r>
          </w:p>
        </w:tc>
      </w:tr>
      <w:tr>
        <w:trPr>
          <w:cantSplit/>
        </w:trPr>
        <w:tc>
          <w:tcPr>
            <w:tcW w:type="dxa" w:w="4819"/>
          </w:tcPr>
          <w:p>
            <w:r>
              <w:rPr>
                <w:sz w:val="18"/>
              </w:rPr>
              <w:t>Повтор через 7–14 дней</w:t>
            </w:r>
          </w:p>
        </w:tc>
        <w:tc>
          <w:tcPr>
            <w:tcW w:type="dxa" w:w="4819"/>
          </w:tcPr>
          <w:p>
            <w:r>
              <w:rPr>
                <w:sz w:val="18"/>
              </w:rPr>
              <w:t>Отметь дату и выполни короткое новое задание; преподаватель сравнит самостоятельность</w:t>
            </w:r>
          </w:p>
        </w:tc>
      </w:tr>
    </w:tbl>
    <w:p>
      <w:pPr>
        <w:pStyle w:val="Heading1"/>
      </w:pPr>
      <w:r>
        <w:t>Журнал проверки модуля</w:t>
      </w:r>
    </w:p>
    <w:tbl>
      <w:tblPr>
        <w:tblStyle w:val="LightShading-Accent1"/>
        <w:tblW w:type="auto" w:w="0"/>
        <w:tblLook w:firstColumn="1" w:firstRow="1" w:lastColumn="0" w:lastRow="0" w:noHBand="0" w:noVBand="1" w:val="04A0"/>
      </w:tblPr>
      <w:tblGrid>
        <w:gridCol w:w="1928"/>
        <w:gridCol w:w="1928"/>
        <w:gridCol w:w="1928"/>
        <w:gridCol w:w="1928"/>
        <w:gridCol w:w="1928"/>
      </w:tblGrid>
      <w:tr>
        <w:trPr>
          <w:tblHeader/>
          <w:cantSplit/>
        </w:trPr>
        <w:tc>
          <w:tcPr>
            <w:tcW w:type="dxa" w:w="1928"/>
          </w:tcPr>
          <w:p>
            <w:r>
              <w:rPr>
                <w:sz w:val="18"/>
              </w:rPr>
              <w:t>Ученик и дата</w:t>
            </w:r>
          </w:p>
        </w:tc>
        <w:tc>
          <w:tcPr>
            <w:tcW w:type="dxa" w:w="1928"/>
          </w:tcPr>
          <w:p>
            <w:r>
              <w:rPr>
                <w:sz w:val="18"/>
              </w:rPr>
              <w:t>Модуль / вариант</w:t>
            </w:r>
          </w:p>
        </w:tc>
        <w:tc>
          <w:tcPr>
            <w:tcW w:type="dxa" w:w="1928"/>
          </w:tcPr>
          <w:p>
            <w:r>
              <w:rPr>
                <w:sz w:val="18"/>
              </w:rPr>
              <w:t>Критерии 1 / 2 / 3</w:t>
            </w:r>
          </w:p>
        </w:tc>
        <w:tc>
          <w:tcPr>
            <w:tcW w:type="dxa" w:w="1928"/>
          </w:tcPr>
          <w:p>
            <w:r>
              <w:rPr>
                <w:sz w:val="18"/>
              </w:rPr>
              <w:t>Что исправить</w:t>
            </w:r>
          </w:p>
        </w:tc>
        <w:tc>
          <w:tcPr>
            <w:tcW w:type="dxa" w:w="1928"/>
          </w:tcPr>
          <w:p>
            <w:r>
              <w:rPr>
                <w:sz w:val="18"/>
              </w:rPr>
              <w:t>Повторная проверка</w:t>
            </w:r>
          </w:p>
        </w:tc>
      </w:tr>
      <w:tr>
        <w:trPr>
          <w:cantSplit/>
        </w:trPr>
        <w:tc>
          <w:tcPr>
            <w:tcW w:type="dxa" w:w="1928"/>
          </w:tcPr>
          <w:p>
            <w:r>
              <w:rPr>
                <w:sz w:val="18"/>
              </w:rPr>
              <w:t>Заполняется преподавателем</w:t>
            </w:r>
          </w:p>
        </w:tc>
        <w:tc>
          <w:tcPr>
            <w:tcW w:type="dxa" w:w="1928"/>
          </w:tcPr>
          <w:p>
            <w:r>
              <w:rPr>
                <w:sz w:val="18"/>
              </w:rPr>
              <w:t>Номер и выданный вариант</w:t>
            </w:r>
          </w:p>
        </w:tc>
        <w:tc>
          <w:tcPr>
            <w:tcW w:type="dxa" w:w="1928"/>
          </w:tcPr>
          <w:p>
            <w:r>
              <w:rPr>
                <w:sz w:val="18"/>
              </w:rPr>
              <w:t>0–2 / 0–2 / 0–2 с пояснением</w:t>
            </w:r>
          </w:p>
        </w:tc>
        <w:tc>
          <w:tcPr>
            <w:tcW w:type="dxa" w:w="1928"/>
          </w:tcPr>
          <w:p>
            <w:r>
              <w:rPr>
                <w:sz w:val="18"/>
              </w:rPr>
              <w:t>Конкретное действие</w:t>
            </w:r>
          </w:p>
        </w:tc>
        <w:tc>
          <w:tcPr>
            <w:tcW w:type="dxa" w:w="1928"/>
          </w:tcPr>
          <w:p>
            <w:r>
              <w:rPr>
                <w:sz w:val="18"/>
              </w:rPr>
              <w:t>Дата, другой вариант, результат</w:t>
            </w:r>
          </w:p>
        </w:tc>
      </w:tr>
    </w:tbl>
    <w:p>
      <w:r>
        <w:t>По одному упражнению нельзя делать вывод о полном освоении модуля. Журнал дополняется наблюдениями на занятии и самостоятельными работами по остальным результатам. Учитываются обстоятельства выполнения; подсказка отмечается отдельно и не маскируется высокой оценкой.</w:t>
      </w:r>
    </w:p>
    <w:p>
      <w:pPr>
        <w:pStyle w:val="Heading1"/>
      </w:pPr>
      <w:r>
        <w:t>Короткий отчёт родителю</w:t>
      </w:r>
    </w:p>
    <w:p>
      <w:pPr>
        <w:pStyle w:val="ListBullet"/>
      </w:pPr>
      <w:r>
        <w:t>Период и предмет: фактические даты и название курса.</w:t>
      </w:r>
    </w:p>
    <w:p>
      <w:pPr>
        <w:pStyle w:val="ListBullet"/>
      </w:pPr>
      <w:r>
        <w:t>Уже получается: одно или два действия с опорой на выполненную работу.</w:t>
      </w:r>
    </w:p>
    <w:p>
      <w:pPr>
        <w:pStyle w:val="ListBullet"/>
      </w:pPr>
      <w:r>
        <w:t>Над чем работаем: конкретное затруднение и его учебная причина.</w:t>
      </w:r>
    </w:p>
    <w:p>
      <w:pPr>
        <w:pStyle w:val="ListBullet"/>
      </w:pPr>
      <w:r>
        <w:t>Следующий шаг: задание, срок и способ проверки.</w:t>
      </w:r>
    </w:p>
    <w:p>
      <w:pPr>
        <w:pStyle w:val="ListBullet"/>
      </w:pPr>
      <w:r>
        <w:t>Как помочь дома: посильное действие без выполнения работы за ребёнка.</w:t>
      </w:r>
    </w:p>
    <w:p>
      <w:pPr>
        <w:pStyle w:val="ListBullet"/>
      </w:pPr>
      <w:r>
        <w:t>Пропуски и нагрузка: факты и договорённость о восстановлении; без сравнения с другими детьми.</w:t>
      </w:r>
    </w:p>
    <w:p>
      <w:r>
        <w:t>Учебный пример формулировки: «Самостоятельно решает линейное уравнение. В неравенстве при делении на отрицательное число пока забывает изменить знак. Следующий шаг: объяснить это правило на числовом примере и выполнить другой вариант». Такой текст допустим только при подтверждении реальной работой конкретного ученика.</w:t>
      </w:r>
    </w:p>
    <w:p>
      <w:pPr>
        <w:pStyle w:val="Heading1"/>
      </w:pPr>
      <w:r>
        <w:t>Протокол итоговой работы</w:t>
      </w:r>
    </w:p>
    <w:p>
      <w:pPr>
        <w:pStyle w:val="ListBullet"/>
      </w:pPr>
      <w:r>
        <w:t>До выдачи: указать версию итогового варианта, составителя, допустимые материалы, время и адаптации. Для каждой задачи указать проверяемые результаты и критерии.</w:t>
      </w:r>
    </w:p>
    <w:p>
      <w:pPr>
        <w:pStyle w:val="ListBullet"/>
      </w:pPr>
      <w:r>
        <w:t>Предметная часть: включить задания по всем шести модулям; отразить вес каждого задания и сумму. Общий вес этой части 60% внутреннего результата.</w:t>
      </w:r>
    </w:p>
    <w:p>
      <w:pPr>
        <w:pStyle w:val="ListBullet"/>
      </w:pPr>
      <w:r>
        <w:t>Объяснение способа: ученик защищает выбранное решение. Полнота основания оценивается отдельно, вес 20%.</w:t>
      </w:r>
    </w:p>
    <w:p>
      <w:pPr>
        <w:pStyle w:val="ListBullet"/>
      </w:pPr>
      <w:r>
        <w:t>Самопроверка: ученик проверяет результат, находит предложенную или собственную ошибку и исправляет её. Вес 20%.</w:t>
      </w:r>
    </w:p>
    <w:p>
      <w:pPr>
        <w:pStyle w:val="ListBullet"/>
      </w:pPr>
      <w:r>
        <w:t>После проверки: сохранить работу, критерии, баллы, дату и содержательный комментарий. Пересчёт в официальный экзаменационный балл не выполнять.</w:t>
      </w:r>
    </w:p>
    <w:p>
      <w:pPr>
        <w:pStyle w:val="ListBullet"/>
      </w:pPr>
      <w:r>
        <w:t>Повтор: другой эквивалентный вариант после коррекции; не повторное воспроизведение опубликованного ключа.</w:t>
      </w:r>
    </w:p>
    <w:p>
      <w:pPr>
        <w:pStyle w:val="Heading1"/>
      </w:pPr>
      <w:r>
        <w:t>Подготовка преподавателя к первому занятию</w:t>
      </w:r>
    </w:p>
    <w:p>
      <w:pPr>
        <w:pStyle w:val="ListBullet"/>
      </w:pPr>
      <w:r>
        <w:t>Проверить доступ ученика к нужному классу, материалам, видеосвязи и общей доске.</w:t>
      </w:r>
    </w:p>
    <w:p>
      <w:pPr>
        <w:pStyle w:val="ListBullet"/>
      </w:pPr>
      <w:r>
        <w:t>Подготовить короткую диагностику, ответы и рубрику; проверить собственное решение до выдачи.</w:t>
      </w:r>
    </w:p>
    <w:p>
      <w:pPr>
        <w:pStyle w:val="ListBullet"/>
      </w:pPr>
      <w:r>
        <w:t>Объяснить ученику, как задавать вопрос, сдавать работу и действовать при потере связи.</w:t>
      </w:r>
    </w:p>
    <w:p>
      <w:pPr>
        <w:pStyle w:val="ListBullet"/>
      </w:pPr>
      <w:r>
        <w:t>Вместе разобрать один ход решения, затем дать новый пример для самостоятельной попытки.</w:t>
      </w:r>
    </w:p>
    <w:p>
      <w:pPr>
        <w:pStyle w:val="ListBullet"/>
      </w:pPr>
      <w:r>
        <w:t>Зафиксировать одно достижение, одну трудность и ближайшее задание; согласовать посильную нагрузку.</w:t>
      </w:r>
    </w:p>
    <w:p>
      <w:pPr>
        <w:pStyle w:val="ListBullet"/>
      </w:pPr>
      <w:r>
        <w:t>Не публиковать работу, фотографию или результаты ребёнка в рекламе без отдельного надлежащего основания.</w:t>
      </w:r>
    </w:p>
    <w:p>
      <w:pPr>
        <w:pStyle w:val="Heading1"/>
      </w:pPr>
      <w:r>
        <w:t>Источники</w:t>
      </w:r>
    </w:p>
    <w:p>
      <w:r>
        <w:t>Закон № 273-ФЗ: структура образовательной программы</w:t>
        <w:br/>
        <w:t>https://www.consultant.ru/document/cons_doc_LAW_140174/</w:t>
      </w:r>
    </w:p>
    <w:p>
      <w:r>
        <w:t>Положение о лицензировании № 1490, редакция от 27.01.2026</w:t>
        <w:br/>
        <w:t>https://www.consultant.ru/document/cons_doc_LAW_363079/26b9a9317e489d57a9842321e747706412e110ff/</w:t>
      </w:r>
    </w:p>
    <w:p>
      <w:r>
        <w:t>Приказ Минпросвещения № 629: дополнительные общеобразовательные программы</w:t>
        <w:br/>
        <w:t>http://publication.pravo.gov.ru/Document/View/0001202209270013</w:t>
      </w:r>
    </w:p>
    <w:p>
      <w:r>
        <w:t>ФИПИ: проекты документов ОГЭ 2027</w:t>
        <w:br/>
        <w:t>https://fipi.ru/oge/demoversii-specifikacii-kodifikatory</w:t>
      </w:r>
    </w:p>
    <w:p>
      <w:r>
        <w:t>ФИПИ: проекты документов ЕГЭ 2027</w:t>
        <w:br/>
        <w:t>https://fipi.ru/ege/demoversii-specifikacii-kodifikatory</w:t>
      </w:r>
    </w:p>
    <w:p>
      <w:r>
        <w:t>Статья 17 закона № 273-ФЗ: формы обучения</w:t>
        <w:br/>
        <w:t>https://www.consultant.ru/document/cons_doc_LAW_140174/affd388ac5d286d2ddbd5a1fc91c0d9b0bc06984/</w:t>
      </w:r>
    </w:p>
    <w:p>
      <w:r>
        <w:t>Региональный лицензирующий орган: Ростобрнадзор</w:t>
        <w:br/>
        <w:t>https://www.rostobrnadzor.ru/</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Классвилль · Проект, не утверждён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4213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4213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14213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14213D"/>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Английский язык. Подготовка к ЕГЭ</dc:title>
  <dc:subject>Проект дополнительной общеразвивающей программы</dc:subject>
  <dc:creator>Классвилль</dc:creator>
  <cp:keywords/>
  <dc:description>generated by python-docx</dc:description>
  <cp:lastModifiedBy/>
  <cp:revision>1</cp:revision>
  <dcterms:created xsi:type="dcterms:W3CDTF">2013-12-23T23:15:00Z</dcterms:created>
  <dcterms:modified xsi:type="dcterms:W3CDTF">2013-12-23T23:15:00Z</dcterms:modified>
  <cp:category/>
</cp:coreProperties>
</file>